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BD09" w14:textId="720F082D" w:rsidR="00BA4926" w:rsidRDefault="0070159F" w:rsidP="00E710A4">
      <w:pPr>
        <w:pStyle w:val="Geschftsnummer"/>
        <w:jc w:val="left"/>
      </w:pPr>
      <w:r>
        <w:t>Wegleitung zum Vollzug von Gesetz und Verordnung über die Ausrichtung von Mietzinsbeiträgen</w:t>
      </w:r>
    </w:p>
    <w:sdt>
      <w:sdtPr>
        <w:rPr>
          <w:rFonts w:ascii="Arial" w:eastAsiaTheme="minorEastAsia" w:hAnsi="Arial" w:cs="Arial"/>
          <w:b w:val="0"/>
          <w:bCs w:val="0"/>
          <w:color w:val="auto"/>
          <w:sz w:val="24"/>
          <w:szCs w:val="24"/>
          <w:lang w:val="de-DE" w:eastAsia="en-US"/>
        </w:rPr>
        <w:id w:val="-290363685"/>
        <w:docPartObj>
          <w:docPartGallery w:val="Table of Contents"/>
          <w:docPartUnique/>
        </w:docPartObj>
      </w:sdtPr>
      <w:sdtEndPr>
        <w:rPr>
          <w:rFonts w:cstheme="minorBidi"/>
          <w:sz w:val="22"/>
        </w:rPr>
      </w:sdtEndPr>
      <w:sdtContent>
        <w:p w14:paraId="3E394714" w14:textId="5F4BBB31" w:rsidR="006B4D14" w:rsidRPr="00A02AD7" w:rsidRDefault="006B4D14">
          <w:pPr>
            <w:pStyle w:val="Inhaltsverzeichnisberschrift"/>
            <w:rPr>
              <w:rFonts w:ascii="Arial" w:hAnsi="Arial" w:cs="Arial"/>
              <w:color w:val="auto"/>
              <w:sz w:val="24"/>
              <w:szCs w:val="24"/>
            </w:rPr>
          </w:pPr>
          <w:r w:rsidRPr="00A02AD7">
            <w:rPr>
              <w:rFonts w:ascii="Arial" w:hAnsi="Arial" w:cs="Arial"/>
              <w:color w:val="auto"/>
              <w:sz w:val="24"/>
              <w:szCs w:val="24"/>
              <w:lang w:val="de-DE"/>
            </w:rPr>
            <w:t>Inhaltsverzeichnis</w:t>
          </w:r>
        </w:p>
        <w:p w14:paraId="214BFFA7" w14:textId="661EB149" w:rsidR="007F7823" w:rsidRDefault="006B4D14">
          <w:pPr>
            <w:pStyle w:val="Verzeichnis1"/>
            <w:rPr>
              <w:rFonts w:asciiTheme="minorHAnsi" w:eastAsiaTheme="minorEastAsia" w:hAnsiTheme="minorHAnsi" w:cstheme="minorBidi"/>
              <w:noProof/>
              <w:szCs w:val="22"/>
              <w:lang w:eastAsia="de-CH"/>
            </w:rPr>
          </w:pPr>
          <w:r>
            <w:fldChar w:fldCharType="begin"/>
          </w:r>
          <w:r>
            <w:instrText xml:space="preserve"> TOC \o "1-3" \h \z \u </w:instrText>
          </w:r>
          <w:r>
            <w:fldChar w:fldCharType="separate"/>
          </w:r>
          <w:hyperlink w:anchor="_Toc151475889" w:history="1">
            <w:r w:rsidR="007F7823" w:rsidRPr="00732F23">
              <w:rPr>
                <w:rStyle w:val="Hyperlink"/>
                <w:noProof/>
              </w:rPr>
              <w:t>1.</w:t>
            </w:r>
            <w:r w:rsidR="007F7823">
              <w:rPr>
                <w:rFonts w:asciiTheme="minorHAnsi" w:eastAsiaTheme="minorEastAsia" w:hAnsiTheme="minorHAnsi" w:cstheme="minorBidi"/>
                <w:noProof/>
                <w:szCs w:val="22"/>
                <w:lang w:eastAsia="de-CH"/>
              </w:rPr>
              <w:tab/>
            </w:r>
            <w:r w:rsidR="007F7823" w:rsidRPr="00732F23">
              <w:rPr>
                <w:rStyle w:val="Hyperlink"/>
                <w:noProof/>
              </w:rPr>
              <w:t>Einleitung</w:t>
            </w:r>
            <w:r w:rsidR="007F7823">
              <w:rPr>
                <w:noProof/>
                <w:webHidden/>
              </w:rPr>
              <w:tab/>
            </w:r>
            <w:r w:rsidR="007F7823">
              <w:rPr>
                <w:noProof/>
                <w:webHidden/>
              </w:rPr>
              <w:fldChar w:fldCharType="begin"/>
            </w:r>
            <w:r w:rsidR="007F7823">
              <w:rPr>
                <w:noProof/>
                <w:webHidden/>
              </w:rPr>
              <w:instrText xml:space="preserve"> PAGEREF _Toc151475889 \h </w:instrText>
            </w:r>
            <w:r w:rsidR="007F7823">
              <w:rPr>
                <w:noProof/>
                <w:webHidden/>
              </w:rPr>
            </w:r>
            <w:r w:rsidR="007F7823">
              <w:rPr>
                <w:noProof/>
                <w:webHidden/>
              </w:rPr>
              <w:fldChar w:fldCharType="separate"/>
            </w:r>
            <w:r w:rsidR="007F7823">
              <w:rPr>
                <w:noProof/>
                <w:webHidden/>
              </w:rPr>
              <w:t>3</w:t>
            </w:r>
            <w:r w:rsidR="007F7823">
              <w:rPr>
                <w:noProof/>
                <w:webHidden/>
              </w:rPr>
              <w:fldChar w:fldCharType="end"/>
            </w:r>
          </w:hyperlink>
        </w:p>
        <w:p w14:paraId="7B9B6D1A" w14:textId="3742CFBB" w:rsidR="007F7823" w:rsidRDefault="00AC4866">
          <w:pPr>
            <w:pStyle w:val="Verzeichnis2"/>
            <w:rPr>
              <w:rFonts w:asciiTheme="minorHAnsi" w:eastAsiaTheme="minorEastAsia" w:hAnsiTheme="minorHAnsi" w:cstheme="minorBidi"/>
              <w:noProof/>
              <w:szCs w:val="22"/>
              <w:lang w:eastAsia="de-CH"/>
            </w:rPr>
          </w:pPr>
          <w:hyperlink w:anchor="_Toc151475890" w:history="1">
            <w:r w:rsidR="007F7823" w:rsidRPr="00732F23">
              <w:rPr>
                <w:rStyle w:val="Hyperlink"/>
                <w:noProof/>
              </w:rPr>
              <w:t>1.1.</w:t>
            </w:r>
            <w:r w:rsidR="007F7823">
              <w:rPr>
                <w:rFonts w:asciiTheme="minorHAnsi" w:eastAsiaTheme="minorEastAsia" w:hAnsiTheme="minorHAnsi" w:cstheme="minorBidi"/>
                <w:noProof/>
                <w:szCs w:val="22"/>
                <w:lang w:eastAsia="de-CH"/>
              </w:rPr>
              <w:tab/>
            </w:r>
            <w:r w:rsidR="007F7823" w:rsidRPr="00732F23">
              <w:rPr>
                <w:rStyle w:val="Hyperlink"/>
                <w:noProof/>
              </w:rPr>
              <w:t>Inhalt und Zweck der Wegleitung</w:t>
            </w:r>
            <w:r w:rsidR="007F7823">
              <w:rPr>
                <w:noProof/>
                <w:webHidden/>
              </w:rPr>
              <w:tab/>
            </w:r>
            <w:r w:rsidR="007F7823">
              <w:rPr>
                <w:noProof/>
                <w:webHidden/>
              </w:rPr>
              <w:fldChar w:fldCharType="begin"/>
            </w:r>
            <w:r w:rsidR="007F7823">
              <w:rPr>
                <w:noProof/>
                <w:webHidden/>
              </w:rPr>
              <w:instrText xml:space="preserve"> PAGEREF _Toc151475890 \h </w:instrText>
            </w:r>
            <w:r w:rsidR="007F7823">
              <w:rPr>
                <w:noProof/>
                <w:webHidden/>
              </w:rPr>
            </w:r>
            <w:r w:rsidR="007F7823">
              <w:rPr>
                <w:noProof/>
                <w:webHidden/>
              </w:rPr>
              <w:fldChar w:fldCharType="separate"/>
            </w:r>
            <w:r w:rsidR="007F7823">
              <w:rPr>
                <w:noProof/>
                <w:webHidden/>
              </w:rPr>
              <w:t>3</w:t>
            </w:r>
            <w:r w:rsidR="007F7823">
              <w:rPr>
                <w:noProof/>
                <w:webHidden/>
              </w:rPr>
              <w:fldChar w:fldCharType="end"/>
            </w:r>
          </w:hyperlink>
        </w:p>
        <w:p w14:paraId="14B56A92" w14:textId="1E7AF31C" w:rsidR="007F7823" w:rsidRDefault="00AC4866">
          <w:pPr>
            <w:pStyle w:val="Verzeichnis2"/>
            <w:rPr>
              <w:rFonts w:asciiTheme="minorHAnsi" w:eastAsiaTheme="minorEastAsia" w:hAnsiTheme="minorHAnsi" w:cstheme="minorBidi"/>
              <w:noProof/>
              <w:szCs w:val="22"/>
              <w:lang w:eastAsia="de-CH"/>
            </w:rPr>
          </w:pPr>
          <w:hyperlink w:anchor="_Toc151475891" w:history="1">
            <w:r w:rsidR="007F7823" w:rsidRPr="00732F23">
              <w:rPr>
                <w:rStyle w:val="Hyperlink"/>
                <w:noProof/>
              </w:rPr>
              <w:t>1.2.</w:t>
            </w:r>
            <w:r w:rsidR="007F7823">
              <w:rPr>
                <w:rFonts w:asciiTheme="minorHAnsi" w:eastAsiaTheme="minorEastAsia" w:hAnsiTheme="minorHAnsi" w:cstheme="minorBidi"/>
                <w:noProof/>
                <w:szCs w:val="22"/>
                <w:lang w:eastAsia="de-CH"/>
              </w:rPr>
              <w:tab/>
            </w:r>
            <w:r w:rsidR="007F7823" w:rsidRPr="00732F23">
              <w:rPr>
                <w:rStyle w:val="Hyperlink"/>
                <w:noProof/>
              </w:rPr>
              <w:t>Grundlagen</w:t>
            </w:r>
            <w:r w:rsidR="007F7823">
              <w:rPr>
                <w:noProof/>
                <w:webHidden/>
              </w:rPr>
              <w:tab/>
            </w:r>
            <w:r w:rsidR="007F7823">
              <w:rPr>
                <w:noProof/>
                <w:webHidden/>
              </w:rPr>
              <w:fldChar w:fldCharType="begin"/>
            </w:r>
            <w:r w:rsidR="007F7823">
              <w:rPr>
                <w:noProof/>
                <w:webHidden/>
              </w:rPr>
              <w:instrText xml:space="preserve"> PAGEREF _Toc151475891 \h </w:instrText>
            </w:r>
            <w:r w:rsidR="007F7823">
              <w:rPr>
                <w:noProof/>
                <w:webHidden/>
              </w:rPr>
            </w:r>
            <w:r w:rsidR="007F7823">
              <w:rPr>
                <w:noProof/>
                <w:webHidden/>
              </w:rPr>
              <w:fldChar w:fldCharType="separate"/>
            </w:r>
            <w:r w:rsidR="007F7823">
              <w:rPr>
                <w:noProof/>
                <w:webHidden/>
              </w:rPr>
              <w:t>3</w:t>
            </w:r>
            <w:r w:rsidR="007F7823">
              <w:rPr>
                <w:noProof/>
                <w:webHidden/>
              </w:rPr>
              <w:fldChar w:fldCharType="end"/>
            </w:r>
          </w:hyperlink>
        </w:p>
        <w:p w14:paraId="0EC61AB7" w14:textId="43784C22" w:rsidR="007F7823" w:rsidRDefault="00AC4866">
          <w:pPr>
            <w:pStyle w:val="Verzeichnis2"/>
            <w:rPr>
              <w:rFonts w:asciiTheme="minorHAnsi" w:eastAsiaTheme="minorEastAsia" w:hAnsiTheme="minorHAnsi" w:cstheme="minorBidi"/>
              <w:noProof/>
              <w:szCs w:val="22"/>
              <w:lang w:eastAsia="de-CH"/>
            </w:rPr>
          </w:pPr>
          <w:hyperlink w:anchor="_Toc151475892" w:history="1">
            <w:r w:rsidR="007F7823" w:rsidRPr="00732F23">
              <w:rPr>
                <w:rStyle w:val="Hyperlink"/>
                <w:noProof/>
              </w:rPr>
              <w:t>1.3.</w:t>
            </w:r>
            <w:r w:rsidR="007F7823">
              <w:rPr>
                <w:rFonts w:asciiTheme="minorHAnsi" w:eastAsiaTheme="minorEastAsia" w:hAnsiTheme="minorHAnsi" w:cstheme="minorBidi"/>
                <w:noProof/>
                <w:szCs w:val="22"/>
                <w:lang w:eastAsia="de-CH"/>
              </w:rPr>
              <w:tab/>
            </w:r>
            <w:r w:rsidR="007F7823" w:rsidRPr="00732F23">
              <w:rPr>
                <w:rStyle w:val="Hyperlink"/>
                <w:noProof/>
              </w:rPr>
              <w:t>Lesehinweise</w:t>
            </w:r>
            <w:r w:rsidR="007F7823">
              <w:rPr>
                <w:noProof/>
                <w:webHidden/>
              </w:rPr>
              <w:tab/>
            </w:r>
            <w:r w:rsidR="007F7823">
              <w:rPr>
                <w:noProof/>
                <w:webHidden/>
              </w:rPr>
              <w:fldChar w:fldCharType="begin"/>
            </w:r>
            <w:r w:rsidR="007F7823">
              <w:rPr>
                <w:noProof/>
                <w:webHidden/>
              </w:rPr>
              <w:instrText xml:space="preserve"> PAGEREF _Toc151475892 \h </w:instrText>
            </w:r>
            <w:r w:rsidR="007F7823">
              <w:rPr>
                <w:noProof/>
                <w:webHidden/>
              </w:rPr>
            </w:r>
            <w:r w:rsidR="007F7823">
              <w:rPr>
                <w:noProof/>
                <w:webHidden/>
              </w:rPr>
              <w:fldChar w:fldCharType="separate"/>
            </w:r>
            <w:r w:rsidR="007F7823">
              <w:rPr>
                <w:noProof/>
                <w:webHidden/>
              </w:rPr>
              <w:t>3</w:t>
            </w:r>
            <w:r w:rsidR="007F7823">
              <w:rPr>
                <w:noProof/>
                <w:webHidden/>
              </w:rPr>
              <w:fldChar w:fldCharType="end"/>
            </w:r>
          </w:hyperlink>
        </w:p>
        <w:p w14:paraId="60FB9062" w14:textId="2EF70C26" w:rsidR="007F7823" w:rsidRDefault="00AC4866">
          <w:pPr>
            <w:pStyle w:val="Verzeichnis2"/>
            <w:rPr>
              <w:rFonts w:asciiTheme="minorHAnsi" w:eastAsiaTheme="minorEastAsia" w:hAnsiTheme="minorHAnsi" w:cstheme="minorBidi"/>
              <w:noProof/>
              <w:szCs w:val="22"/>
              <w:lang w:eastAsia="de-CH"/>
            </w:rPr>
          </w:pPr>
          <w:hyperlink w:anchor="_Toc151475893" w:history="1">
            <w:r w:rsidR="007F7823" w:rsidRPr="00732F23">
              <w:rPr>
                <w:rStyle w:val="Hyperlink"/>
                <w:noProof/>
              </w:rPr>
              <w:t>1.4.</w:t>
            </w:r>
            <w:r w:rsidR="007F7823">
              <w:rPr>
                <w:rFonts w:asciiTheme="minorHAnsi" w:eastAsiaTheme="minorEastAsia" w:hAnsiTheme="minorHAnsi" w:cstheme="minorBidi"/>
                <w:noProof/>
                <w:szCs w:val="22"/>
                <w:lang w:eastAsia="de-CH"/>
              </w:rPr>
              <w:tab/>
            </w:r>
            <w:r w:rsidR="007F7823" w:rsidRPr="00732F23">
              <w:rPr>
                <w:rStyle w:val="Hyperlink"/>
                <w:noProof/>
              </w:rPr>
              <w:t>Weitere Hilfestellungen für den Vollzug</w:t>
            </w:r>
            <w:r w:rsidR="007F7823">
              <w:rPr>
                <w:noProof/>
                <w:webHidden/>
              </w:rPr>
              <w:tab/>
            </w:r>
            <w:r w:rsidR="007F7823">
              <w:rPr>
                <w:noProof/>
                <w:webHidden/>
              </w:rPr>
              <w:fldChar w:fldCharType="begin"/>
            </w:r>
            <w:r w:rsidR="007F7823">
              <w:rPr>
                <w:noProof/>
                <w:webHidden/>
              </w:rPr>
              <w:instrText xml:space="preserve"> PAGEREF _Toc151475893 \h </w:instrText>
            </w:r>
            <w:r w:rsidR="007F7823">
              <w:rPr>
                <w:noProof/>
                <w:webHidden/>
              </w:rPr>
            </w:r>
            <w:r w:rsidR="007F7823">
              <w:rPr>
                <w:noProof/>
                <w:webHidden/>
              </w:rPr>
              <w:fldChar w:fldCharType="separate"/>
            </w:r>
            <w:r w:rsidR="007F7823">
              <w:rPr>
                <w:noProof/>
                <w:webHidden/>
              </w:rPr>
              <w:t>3</w:t>
            </w:r>
            <w:r w:rsidR="007F7823">
              <w:rPr>
                <w:noProof/>
                <w:webHidden/>
              </w:rPr>
              <w:fldChar w:fldCharType="end"/>
            </w:r>
          </w:hyperlink>
        </w:p>
        <w:p w14:paraId="2DDED865" w14:textId="5F9E3B24" w:rsidR="007F7823" w:rsidRDefault="00AC4866">
          <w:pPr>
            <w:pStyle w:val="Verzeichnis1"/>
            <w:rPr>
              <w:rFonts w:asciiTheme="minorHAnsi" w:eastAsiaTheme="minorEastAsia" w:hAnsiTheme="minorHAnsi" w:cstheme="minorBidi"/>
              <w:noProof/>
              <w:szCs w:val="22"/>
              <w:lang w:eastAsia="de-CH"/>
            </w:rPr>
          </w:pPr>
          <w:hyperlink w:anchor="_Toc151475894" w:history="1">
            <w:r w:rsidR="007F7823" w:rsidRPr="00732F23">
              <w:rPr>
                <w:rStyle w:val="Hyperlink"/>
                <w:noProof/>
              </w:rPr>
              <w:t>2.</w:t>
            </w:r>
            <w:r w:rsidR="007F7823">
              <w:rPr>
                <w:rFonts w:asciiTheme="minorHAnsi" w:eastAsiaTheme="minorEastAsia" w:hAnsiTheme="minorHAnsi" w:cstheme="minorBidi"/>
                <w:noProof/>
                <w:szCs w:val="22"/>
                <w:lang w:eastAsia="de-CH"/>
              </w:rPr>
              <w:tab/>
            </w:r>
            <w:r w:rsidR="007F7823" w:rsidRPr="00732F23">
              <w:rPr>
                <w:rStyle w:val="Hyperlink"/>
                <w:noProof/>
              </w:rPr>
              <w:t>Erlass und Genehmigung der Gemeindereglemente</w:t>
            </w:r>
            <w:r w:rsidR="007F7823">
              <w:rPr>
                <w:noProof/>
                <w:webHidden/>
              </w:rPr>
              <w:tab/>
            </w:r>
            <w:r w:rsidR="007F7823">
              <w:rPr>
                <w:noProof/>
                <w:webHidden/>
              </w:rPr>
              <w:fldChar w:fldCharType="begin"/>
            </w:r>
            <w:r w:rsidR="007F7823">
              <w:rPr>
                <w:noProof/>
                <w:webHidden/>
              </w:rPr>
              <w:instrText xml:space="preserve"> PAGEREF _Toc151475894 \h </w:instrText>
            </w:r>
            <w:r w:rsidR="007F7823">
              <w:rPr>
                <w:noProof/>
                <w:webHidden/>
              </w:rPr>
            </w:r>
            <w:r w:rsidR="007F7823">
              <w:rPr>
                <w:noProof/>
                <w:webHidden/>
              </w:rPr>
              <w:fldChar w:fldCharType="separate"/>
            </w:r>
            <w:r w:rsidR="007F7823">
              <w:rPr>
                <w:noProof/>
                <w:webHidden/>
              </w:rPr>
              <w:t>4</w:t>
            </w:r>
            <w:r w:rsidR="007F7823">
              <w:rPr>
                <w:noProof/>
                <w:webHidden/>
              </w:rPr>
              <w:fldChar w:fldCharType="end"/>
            </w:r>
          </w:hyperlink>
        </w:p>
        <w:p w14:paraId="59205788" w14:textId="29484E75" w:rsidR="007F7823" w:rsidRDefault="00AC4866">
          <w:pPr>
            <w:pStyle w:val="Verzeichnis2"/>
            <w:rPr>
              <w:rFonts w:asciiTheme="minorHAnsi" w:eastAsiaTheme="minorEastAsia" w:hAnsiTheme="minorHAnsi" w:cstheme="minorBidi"/>
              <w:noProof/>
              <w:szCs w:val="22"/>
              <w:lang w:eastAsia="de-CH"/>
            </w:rPr>
          </w:pPr>
          <w:hyperlink w:anchor="_Toc151475895" w:history="1">
            <w:r w:rsidR="007F7823" w:rsidRPr="00732F23">
              <w:rPr>
                <w:rStyle w:val="Hyperlink"/>
                <w:noProof/>
              </w:rPr>
              <w:t>2.1.</w:t>
            </w:r>
            <w:r w:rsidR="007F7823">
              <w:rPr>
                <w:rFonts w:asciiTheme="minorHAnsi" w:eastAsiaTheme="minorEastAsia" w:hAnsiTheme="minorHAnsi" w:cstheme="minorBidi"/>
                <w:noProof/>
                <w:szCs w:val="22"/>
                <w:lang w:eastAsia="de-CH"/>
              </w:rPr>
              <w:tab/>
            </w:r>
            <w:r w:rsidR="007F7823" w:rsidRPr="00732F23">
              <w:rPr>
                <w:rStyle w:val="Hyperlink"/>
                <w:noProof/>
              </w:rPr>
              <w:t>Grundlage</w:t>
            </w:r>
            <w:r w:rsidR="007F7823">
              <w:rPr>
                <w:noProof/>
                <w:webHidden/>
              </w:rPr>
              <w:tab/>
            </w:r>
            <w:r w:rsidR="007F7823">
              <w:rPr>
                <w:noProof/>
                <w:webHidden/>
              </w:rPr>
              <w:fldChar w:fldCharType="begin"/>
            </w:r>
            <w:r w:rsidR="007F7823">
              <w:rPr>
                <w:noProof/>
                <w:webHidden/>
              </w:rPr>
              <w:instrText xml:space="preserve"> PAGEREF _Toc151475895 \h </w:instrText>
            </w:r>
            <w:r w:rsidR="007F7823">
              <w:rPr>
                <w:noProof/>
                <w:webHidden/>
              </w:rPr>
            </w:r>
            <w:r w:rsidR="007F7823">
              <w:rPr>
                <w:noProof/>
                <w:webHidden/>
              </w:rPr>
              <w:fldChar w:fldCharType="separate"/>
            </w:r>
            <w:r w:rsidR="007F7823">
              <w:rPr>
                <w:noProof/>
                <w:webHidden/>
              </w:rPr>
              <w:t>4</w:t>
            </w:r>
            <w:r w:rsidR="007F7823">
              <w:rPr>
                <w:noProof/>
                <w:webHidden/>
              </w:rPr>
              <w:fldChar w:fldCharType="end"/>
            </w:r>
          </w:hyperlink>
        </w:p>
        <w:p w14:paraId="48CAE921" w14:textId="225F9008" w:rsidR="007F7823" w:rsidRDefault="00AC4866">
          <w:pPr>
            <w:pStyle w:val="Verzeichnis2"/>
            <w:rPr>
              <w:rFonts w:asciiTheme="minorHAnsi" w:eastAsiaTheme="minorEastAsia" w:hAnsiTheme="minorHAnsi" w:cstheme="minorBidi"/>
              <w:noProof/>
              <w:szCs w:val="22"/>
              <w:lang w:eastAsia="de-CH"/>
            </w:rPr>
          </w:pPr>
          <w:hyperlink w:anchor="_Toc151475896" w:history="1">
            <w:r w:rsidR="007F7823" w:rsidRPr="00732F23">
              <w:rPr>
                <w:rStyle w:val="Hyperlink"/>
                <w:noProof/>
              </w:rPr>
              <w:t>2.2.</w:t>
            </w:r>
            <w:r w:rsidR="007F7823">
              <w:rPr>
                <w:rFonts w:asciiTheme="minorHAnsi" w:eastAsiaTheme="minorEastAsia" w:hAnsiTheme="minorHAnsi" w:cstheme="minorBidi"/>
                <w:noProof/>
                <w:szCs w:val="22"/>
                <w:lang w:eastAsia="de-CH"/>
              </w:rPr>
              <w:tab/>
            </w:r>
            <w:r w:rsidR="007F7823" w:rsidRPr="00732F23">
              <w:rPr>
                <w:rStyle w:val="Hyperlink"/>
                <w:noProof/>
              </w:rPr>
              <w:t>Inhalt</w:t>
            </w:r>
            <w:r w:rsidR="007F7823">
              <w:rPr>
                <w:noProof/>
                <w:webHidden/>
              </w:rPr>
              <w:tab/>
            </w:r>
            <w:r w:rsidR="007F7823">
              <w:rPr>
                <w:noProof/>
                <w:webHidden/>
              </w:rPr>
              <w:fldChar w:fldCharType="begin"/>
            </w:r>
            <w:r w:rsidR="007F7823">
              <w:rPr>
                <w:noProof/>
                <w:webHidden/>
              </w:rPr>
              <w:instrText xml:space="preserve"> PAGEREF _Toc151475896 \h </w:instrText>
            </w:r>
            <w:r w:rsidR="007F7823">
              <w:rPr>
                <w:noProof/>
                <w:webHidden/>
              </w:rPr>
            </w:r>
            <w:r w:rsidR="007F7823">
              <w:rPr>
                <w:noProof/>
                <w:webHidden/>
              </w:rPr>
              <w:fldChar w:fldCharType="separate"/>
            </w:r>
            <w:r w:rsidR="007F7823">
              <w:rPr>
                <w:noProof/>
                <w:webHidden/>
              </w:rPr>
              <w:t>4</w:t>
            </w:r>
            <w:r w:rsidR="007F7823">
              <w:rPr>
                <w:noProof/>
                <w:webHidden/>
              </w:rPr>
              <w:fldChar w:fldCharType="end"/>
            </w:r>
          </w:hyperlink>
        </w:p>
        <w:p w14:paraId="2B5E5FF8" w14:textId="2394D674" w:rsidR="007F7823" w:rsidRDefault="00AC4866">
          <w:pPr>
            <w:pStyle w:val="Verzeichnis2"/>
            <w:rPr>
              <w:rFonts w:asciiTheme="minorHAnsi" w:eastAsiaTheme="minorEastAsia" w:hAnsiTheme="minorHAnsi" w:cstheme="minorBidi"/>
              <w:noProof/>
              <w:szCs w:val="22"/>
              <w:lang w:eastAsia="de-CH"/>
            </w:rPr>
          </w:pPr>
          <w:hyperlink w:anchor="_Toc151475897" w:history="1">
            <w:r w:rsidR="007F7823" w:rsidRPr="00732F23">
              <w:rPr>
                <w:rStyle w:val="Hyperlink"/>
                <w:noProof/>
              </w:rPr>
              <w:t>2.3.</w:t>
            </w:r>
            <w:r w:rsidR="007F7823">
              <w:rPr>
                <w:rFonts w:asciiTheme="minorHAnsi" w:eastAsiaTheme="minorEastAsia" w:hAnsiTheme="minorHAnsi" w:cstheme="minorBidi"/>
                <w:noProof/>
                <w:szCs w:val="22"/>
                <w:lang w:eastAsia="de-CH"/>
              </w:rPr>
              <w:tab/>
            </w:r>
            <w:r w:rsidR="007F7823" w:rsidRPr="00732F23">
              <w:rPr>
                <w:rStyle w:val="Hyperlink"/>
                <w:noProof/>
              </w:rPr>
              <w:t>Genehmigungsprozess</w:t>
            </w:r>
            <w:r w:rsidR="007F7823">
              <w:rPr>
                <w:noProof/>
                <w:webHidden/>
              </w:rPr>
              <w:tab/>
            </w:r>
            <w:r w:rsidR="007F7823">
              <w:rPr>
                <w:noProof/>
                <w:webHidden/>
              </w:rPr>
              <w:fldChar w:fldCharType="begin"/>
            </w:r>
            <w:r w:rsidR="007F7823">
              <w:rPr>
                <w:noProof/>
                <w:webHidden/>
              </w:rPr>
              <w:instrText xml:space="preserve"> PAGEREF _Toc151475897 \h </w:instrText>
            </w:r>
            <w:r w:rsidR="007F7823">
              <w:rPr>
                <w:noProof/>
                <w:webHidden/>
              </w:rPr>
            </w:r>
            <w:r w:rsidR="007F7823">
              <w:rPr>
                <w:noProof/>
                <w:webHidden/>
              </w:rPr>
              <w:fldChar w:fldCharType="separate"/>
            </w:r>
            <w:r w:rsidR="007F7823">
              <w:rPr>
                <w:noProof/>
                <w:webHidden/>
              </w:rPr>
              <w:t>4</w:t>
            </w:r>
            <w:r w:rsidR="007F7823">
              <w:rPr>
                <w:noProof/>
                <w:webHidden/>
              </w:rPr>
              <w:fldChar w:fldCharType="end"/>
            </w:r>
          </w:hyperlink>
        </w:p>
        <w:p w14:paraId="5E9483C9" w14:textId="63B97017" w:rsidR="007F7823" w:rsidRDefault="00AC4866">
          <w:pPr>
            <w:pStyle w:val="Verzeichnis3"/>
            <w:rPr>
              <w:rFonts w:asciiTheme="minorHAnsi" w:eastAsiaTheme="minorEastAsia" w:hAnsiTheme="minorHAnsi" w:cstheme="minorBidi"/>
              <w:i w:val="0"/>
              <w:noProof/>
            </w:rPr>
          </w:pPr>
          <w:hyperlink w:anchor="_Toc151475898" w:history="1">
            <w:r w:rsidR="007F7823" w:rsidRPr="00732F23">
              <w:rPr>
                <w:rStyle w:val="Hyperlink"/>
                <w:noProof/>
                <w14:scene3d>
                  <w14:camera w14:prst="orthographicFront"/>
                  <w14:lightRig w14:rig="threePt" w14:dir="t">
                    <w14:rot w14:lat="0" w14:lon="0" w14:rev="0"/>
                  </w14:lightRig>
                </w14:scene3d>
              </w:rPr>
              <w:t>2.3.1.</w:t>
            </w:r>
            <w:r w:rsidR="007F7823">
              <w:rPr>
                <w:rFonts w:asciiTheme="minorHAnsi" w:eastAsiaTheme="minorEastAsia" w:hAnsiTheme="minorHAnsi" w:cstheme="minorBidi"/>
                <w:i w:val="0"/>
                <w:noProof/>
              </w:rPr>
              <w:tab/>
            </w:r>
            <w:r w:rsidR="007F7823" w:rsidRPr="00732F23">
              <w:rPr>
                <w:rStyle w:val="Hyperlink"/>
                <w:noProof/>
              </w:rPr>
              <w:t>Vorprüfung (fakultativ)</w:t>
            </w:r>
            <w:r w:rsidR="007F7823">
              <w:rPr>
                <w:noProof/>
                <w:webHidden/>
              </w:rPr>
              <w:tab/>
            </w:r>
            <w:r w:rsidR="007F7823">
              <w:rPr>
                <w:noProof/>
                <w:webHidden/>
              </w:rPr>
              <w:fldChar w:fldCharType="begin"/>
            </w:r>
            <w:r w:rsidR="007F7823">
              <w:rPr>
                <w:noProof/>
                <w:webHidden/>
              </w:rPr>
              <w:instrText xml:space="preserve"> PAGEREF _Toc151475898 \h </w:instrText>
            </w:r>
            <w:r w:rsidR="007F7823">
              <w:rPr>
                <w:noProof/>
                <w:webHidden/>
              </w:rPr>
            </w:r>
            <w:r w:rsidR="007F7823">
              <w:rPr>
                <w:noProof/>
                <w:webHidden/>
              </w:rPr>
              <w:fldChar w:fldCharType="separate"/>
            </w:r>
            <w:r w:rsidR="007F7823">
              <w:rPr>
                <w:noProof/>
                <w:webHidden/>
              </w:rPr>
              <w:t>4</w:t>
            </w:r>
            <w:r w:rsidR="007F7823">
              <w:rPr>
                <w:noProof/>
                <w:webHidden/>
              </w:rPr>
              <w:fldChar w:fldCharType="end"/>
            </w:r>
          </w:hyperlink>
        </w:p>
        <w:p w14:paraId="029095EF" w14:textId="29E8CC66" w:rsidR="007F7823" w:rsidRDefault="00AC4866">
          <w:pPr>
            <w:pStyle w:val="Verzeichnis3"/>
            <w:rPr>
              <w:rFonts w:asciiTheme="minorHAnsi" w:eastAsiaTheme="minorEastAsia" w:hAnsiTheme="minorHAnsi" w:cstheme="minorBidi"/>
              <w:i w:val="0"/>
              <w:noProof/>
            </w:rPr>
          </w:pPr>
          <w:hyperlink w:anchor="_Toc151475899" w:history="1">
            <w:r w:rsidR="007F7823" w:rsidRPr="00732F23">
              <w:rPr>
                <w:rStyle w:val="Hyperlink"/>
                <w:noProof/>
                <w14:scene3d>
                  <w14:camera w14:prst="orthographicFront"/>
                  <w14:lightRig w14:rig="threePt" w14:dir="t">
                    <w14:rot w14:lat="0" w14:lon="0" w14:rev="0"/>
                  </w14:lightRig>
                </w14:scene3d>
              </w:rPr>
              <w:t>2.3.2.</w:t>
            </w:r>
            <w:r w:rsidR="007F7823">
              <w:rPr>
                <w:rFonts w:asciiTheme="minorHAnsi" w:eastAsiaTheme="minorEastAsia" w:hAnsiTheme="minorHAnsi" w:cstheme="minorBidi"/>
                <w:i w:val="0"/>
                <w:noProof/>
              </w:rPr>
              <w:tab/>
            </w:r>
            <w:r w:rsidR="007F7823" w:rsidRPr="00732F23">
              <w:rPr>
                <w:rStyle w:val="Hyperlink"/>
                <w:noProof/>
              </w:rPr>
              <w:t>Genehmigung</w:t>
            </w:r>
            <w:r w:rsidR="007F7823">
              <w:rPr>
                <w:noProof/>
                <w:webHidden/>
              </w:rPr>
              <w:tab/>
            </w:r>
            <w:r w:rsidR="007F7823">
              <w:rPr>
                <w:noProof/>
                <w:webHidden/>
              </w:rPr>
              <w:fldChar w:fldCharType="begin"/>
            </w:r>
            <w:r w:rsidR="007F7823">
              <w:rPr>
                <w:noProof/>
                <w:webHidden/>
              </w:rPr>
              <w:instrText xml:space="preserve"> PAGEREF _Toc151475899 \h </w:instrText>
            </w:r>
            <w:r w:rsidR="007F7823">
              <w:rPr>
                <w:noProof/>
                <w:webHidden/>
              </w:rPr>
            </w:r>
            <w:r w:rsidR="007F7823">
              <w:rPr>
                <w:noProof/>
                <w:webHidden/>
              </w:rPr>
              <w:fldChar w:fldCharType="separate"/>
            </w:r>
            <w:r w:rsidR="007F7823">
              <w:rPr>
                <w:noProof/>
                <w:webHidden/>
              </w:rPr>
              <w:t>4</w:t>
            </w:r>
            <w:r w:rsidR="007F7823">
              <w:rPr>
                <w:noProof/>
                <w:webHidden/>
              </w:rPr>
              <w:fldChar w:fldCharType="end"/>
            </w:r>
          </w:hyperlink>
        </w:p>
        <w:p w14:paraId="7FD4921D" w14:textId="6D200B77" w:rsidR="007F7823" w:rsidRDefault="00AC4866">
          <w:pPr>
            <w:pStyle w:val="Verzeichnis3"/>
            <w:rPr>
              <w:rFonts w:asciiTheme="minorHAnsi" w:eastAsiaTheme="minorEastAsia" w:hAnsiTheme="minorHAnsi" w:cstheme="minorBidi"/>
              <w:i w:val="0"/>
              <w:noProof/>
            </w:rPr>
          </w:pPr>
          <w:hyperlink w:anchor="_Toc151475900" w:history="1">
            <w:r w:rsidR="007F7823" w:rsidRPr="00732F23">
              <w:rPr>
                <w:rStyle w:val="Hyperlink"/>
                <w:noProof/>
                <w14:scene3d>
                  <w14:camera w14:prst="orthographicFront"/>
                  <w14:lightRig w14:rig="threePt" w14:dir="t">
                    <w14:rot w14:lat="0" w14:lon="0" w14:rev="0"/>
                  </w14:lightRig>
                </w14:scene3d>
              </w:rPr>
              <w:t>2.3.3.</w:t>
            </w:r>
            <w:r w:rsidR="007F7823">
              <w:rPr>
                <w:rFonts w:asciiTheme="minorHAnsi" w:eastAsiaTheme="minorEastAsia" w:hAnsiTheme="minorHAnsi" w:cstheme="minorBidi"/>
                <w:i w:val="0"/>
                <w:noProof/>
              </w:rPr>
              <w:tab/>
            </w:r>
            <w:r w:rsidR="007F7823" w:rsidRPr="00732F23">
              <w:rPr>
                <w:rStyle w:val="Hyperlink"/>
                <w:noProof/>
              </w:rPr>
              <w:t>Kontakt KSA</w:t>
            </w:r>
            <w:r w:rsidR="007F7823">
              <w:rPr>
                <w:noProof/>
                <w:webHidden/>
              </w:rPr>
              <w:tab/>
            </w:r>
            <w:r w:rsidR="007F7823">
              <w:rPr>
                <w:noProof/>
                <w:webHidden/>
              </w:rPr>
              <w:fldChar w:fldCharType="begin"/>
            </w:r>
            <w:r w:rsidR="007F7823">
              <w:rPr>
                <w:noProof/>
                <w:webHidden/>
              </w:rPr>
              <w:instrText xml:space="preserve"> PAGEREF _Toc151475900 \h </w:instrText>
            </w:r>
            <w:r w:rsidR="007F7823">
              <w:rPr>
                <w:noProof/>
                <w:webHidden/>
              </w:rPr>
            </w:r>
            <w:r w:rsidR="007F7823">
              <w:rPr>
                <w:noProof/>
                <w:webHidden/>
              </w:rPr>
              <w:fldChar w:fldCharType="separate"/>
            </w:r>
            <w:r w:rsidR="007F7823">
              <w:rPr>
                <w:noProof/>
                <w:webHidden/>
              </w:rPr>
              <w:t>4</w:t>
            </w:r>
            <w:r w:rsidR="007F7823">
              <w:rPr>
                <w:noProof/>
                <w:webHidden/>
              </w:rPr>
              <w:fldChar w:fldCharType="end"/>
            </w:r>
          </w:hyperlink>
        </w:p>
        <w:p w14:paraId="18F66DC2" w14:textId="51F6565D" w:rsidR="007F7823" w:rsidRDefault="00AC4866">
          <w:pPr>
            <w:pStyle w:val="Verzeichnis2"/>
            <w:rPr>
              <w:rFonts w:asciiTheme="minorHAnsi" w:eastAsiaTheme="minorEastAsia" w:hAnsiTheme="minorHAnsi" w:cstheme="minorBidi"/>
              <w:noProof/>
              <w:szCs w:val="22"/>
              <w:lang w:eastAsia="de-CH"/>
            </w:rPr>
          </w:pPr>
          <w:hyperlink w:anchor="_Toc151475901" w:history="1">
            <w:r w:rsidR="007F7823" w:rsidRPr="00732F23">
              <w:rPr>
                <w:rStyle w:val="Hyperlink"/>
                <w:noProof/>
              </w:rPr>
              <w:t>2.4.</w:t>
            </w:r>
            <w:r w:rsidR="007F7823">
              <w:rPr>
                <w:rFonts w:asciiTheme="minorHAnsi" w:eastAsiaTheme="minorEastAsia" w:hAnsiTheme="minorHAnsi" w:cstheme="minorBidi"/>
                <w:noProof/>
                <w:szCs w:val="22"/>
                <w:lang w:eastAsia="de-CH"/>
              </w:rPr>
              <w:tab/>
            </w:r>
            <w:r w:rsidR="007F7823" w:rsidRPr="00732F23">
              <w:rPr>
                <w:rStyle w:val="Hyperlink"/>
                <w:noProof/>
              </w:rPr>
              <w:t>Inkrafttreten</w:t>
            </w:r>
            <w:r w:rsidR="007F7823">
              <w:rPr>
                <w:noProof/>
                <w:webHidden/>
              </w:rPr>
              <w:tab/>
            </w:r>
            <w:r w:rsidR="007F7823">
              <w:rPr>
                <w:noProof/>
                <w:webHidden/>
              </w:rPr>
              <w:fldChar w:fldCharType="begin"/>
            </w:r>
            <w:r w:rsidR="007F7823">
              <w:rPr>
                <w:noProof/>
                <w:webHidden/>
              </w:rPr>
              <w:instrText xml:space="preserve"> PAGEREF _Toc151475901 \h </w:instrText>
            </w:r>
            <w:r w:rsidR="007F7823">
              <w:rPr>
                <w:noProof/>
                <w:webHidden/>
              </w:rPr>
            </w:r>
            <w:r w:rsidR="007F7823">
              <w:rPr>
                <w:noProof/>
                <w:webHidden/>
              </w:rPr>
              <w:fldChar w:fldCharType="separate"/>
            </w:r>
            <w:r w:rsidR="007F7823">
              <w:rPr>
                <w:noProof/>
                <w:webHidden/>
              </w:rPr>
              <w:t>4</w:t>
            </w:r>
            <w:r w:rsidR="007F7823">
              <w:rPr>
                <w:noProof/>
                <w:webHidden/>
              </w:rPr>
              <w:fldChar w:fldCharType="end"/>
            </w:r>
          </w:hyperlink>
        </w:p>
        <w:p w14:paraId="40DD6266" w14:textId="6F2C6A7F" w:rsidR="007F7823" w:rsidRDefault="00AC4866">
          <w:pPr>
            <w:pStyle w:val="Verzeichnis1"/>
            <w:rPr>
              <w:rFonts w:asciiTheme="minorHAnsi" w:eastAsiaTheme="minorEastAsia" w:hAnsiTheme="minorHAnsi" w:cstheme="minorBidi"/>
              <w:noProof/>
              <w:szCs w:val="22"/>
              <w:lang w:eastAsia="de-CH"/>
            </w:rPr>
          </w:pPr>
          <w:hyperlink w:anchor="_Toc151475902" w:history="1">
            <w:r w:rsidR="007F7823" w:rsidRPr="00732F23">
              <w:rPr>
                <w:rStyle w:val="Hyperlink"/>
                <w:noProof/>
              </w:rPr>
              <w:t>3.</w:t>
            </w:r>
            <w:r w:rsidR="007F7823">
              <w:rPr>
                <w:rFonts w:asciiTheme="minorHAnsi" w:eastAsiaTheme="minorEastAsia" w:hAnsiTheme="minorHAnsi" w:cstheme="minorBidi"/>
                <w:noProof/>
                <w:szCs w:val="22"/>
                <w:lang w:eastAsia="de-CH"/>
              </w:rPr>
              <w:tab/>
            </w:r>
            <w:r w:rsidR="007F7823" w:rsidRPr="00732F23">
              <w:rPr>
                <w:rStyle w:val="Hyperlink"/>
                <w:noProof/>
              </w:rPr>
              <w:t>Allgemeine Bestimmungen</w:t>
            </w:r>
            <w:r w:rsidR="007F7823">
              <w:rPr>
                <w:noProof/>
                <w:webHidden/>
              </w:rPr>
              <w:tab/>
            </w:r>
            <w:r w:rsidR="007F7823">
              <w:rPr>
                <w:noProof/>
                <w:webHidden/>
              </w:rPr>
              <w:fldChar w:fldCharType="begin"/>
            </w:r>
            <w:r w:rsidR="007F7823">
              <w:rPr>
                <w:noProof/>
                <w:webHidden/>
              </w:rPr>
              <w:instrText xml:space="preserve"> PAGEREF _Toc151475902 \h </w:instrText>
            </w:r>
            <w:r w:rsidR="007F7823">
              <w:rPr>
                <w:noProof/>
                <w:webHidden/>
              </w:rPr>
            </w:r>
            <w:r w:rsidR="007F7823">
              <w:rPr>
                <w:noProof/>
                <w:webHidden/>
              </w:rPr>
              <w:fldChar w:fldCharType="separate"/>
            </w:r>
            <w:r w:rsidR="007F7823">
              <w:rPr>
                <w:noProof/>
                <w:webHidden/>
              </w:rPr>
              <w:t>5</w:t>
            </w:r>
            <w:r w:rsidR="007F7823">
              <w:rPr>
                <w:noProof/>
                <w:webHidden/>
              </w:rPr>
              <w:fldChar w:fldCharType="end"/>
            </w:r>
          </w:hyperlink>
        </w:p>
        <w:p w14:paraId="0814C25E" w14:textId="248282EB" w:rsidR="007F7823" w:rsidRDefault="00AC4866">
          <w:pPr>
            <w:pStyle w:val="Verzeichnis2"/>
            <w:rPr>
              <w:rFonts w:asciiTheme="minorHAnsi" w:eastAsiaTheme="minorEastAsia" w:hAnsiTheme="minorHAnsi" w:cstheme="minorBidi"/>
              <w:noProof/>
              <w:szCs w:val="22"/>
              <w:lang w:eastAsia="de-CH"/>
            </w:rPr>
          </w:pPr>
          <w:hyperlink w:anchor="_Toc151475903" w:history="1">
            <w:r w:rsidR="007F7823" w:rsidRPr="00732F23">
              <w:rPr>
                <w:rStyle w:val="Hyperlink"/>
                <w:noProof/>
              </w:rPr>
              <w:t>3.1.</w:t>
            </w:r>
            <w:r w:rsidR="007F7823">
              <w:rPr>
                <w:rFonts w:asciiTheme="minorHAnsi" w:eastAsiaTheme="minorEastAsia" w:hAnsiTheme="minorHAnsi" w:cstheme="minorBidi"/>
                <w:noProof/>
                <w:szCs w:val="22"/>
                <w:lang w:eastAsia="de-CH"/>
              </w:rPr>
              <w:tab/>
            </w:r>
            <w:r w:rsidR="007F7823" w:rsidRPr="00732F23">
              <w:rPr>
                <w:rStyle w:val="Hyperlink"/>
                <w:bCs/>
                <w:noProof/>
              </w:rPr>
              <w:t>Allgemeine</w:t>
            </w:r>
            <w:r w:rsidR="007F7823" w:rsidRPr="00732F23">
              <w:rPr>
                <w:rStyle w:val="Hyperlink"/>
                <w:noProof/>
              </w:rPr>
              <w:t xml:space="preserve"> Voraussetzung (§ 2 MBG)</w:t>
            </w:r>
            <w:r w:rsidR="007F7823">
              <w:rPr>
                <w:noProof/>
                <w:webHidden/>
              </w:rPr>
              <w:tab/>
            </w:r>
            <w:r w:rsidR="007F7823">
              <w:rPr>
                <w:noProof/>
                <w:webHidden/>
              </w:rPr>
              <w:fldChar w:fldCharType="begin"/>
            </w:r>
            <w:r w:rsidR="007F7823">
              <w:rPr>
                <w:noProof/>
                <w:webHidden/>
              </w:rPr>
              <w:instrText xml:space="preserve"> PAGEREF _Toc151475903 \h </w:instrText>
            </w:r>
            <w:r w:rsidR="007F7823">
              <w:rPr>
                <w:noProof/>
                <w:webHidden/>
              </w:rPr>
            </w:r>
            <w:r w:rsidR="007F7823">
              <w:rPr>
                <w:noProof/>
                <w:webHidden/>
              </w:rPr>
              <w:fldChar w:fldCharType="separate"/>
            </w:r>
            <w:r w:rsidR="007F7823">
              <w:rPr>
                <w:noProof/>
                <w:webHidden/>
              </w:rPr>
              <w:t>5</w:t>
            </w:r>
            <w:r w:rsidR="007F7823">
              <w:rPr>
                <w:noProof/>
                <w:webHidden/>
              </w:rPr>
              <w:fldChar w:fldCharType="end"/>
            </w:r>
          </w:hyperlink>
        </w:p>
        <w:p w14:paraId="1F71456D" w14:textId="478D2CFF" w:rsidR="007F7823" w:rsidRDefault="00AC4866">
          <w:pPr>
            <w:pStyle w:val="Verzeichnis3"/>
            <w:rPr>
              <w:rFonts w:asciiTheme="minorHAnsi" w:eastAsiaTheme="minorEastAsia" w:hAnsiTheme="minorHAnsi" w:cstheme="minorBidi"/>
              <w:i w:val="0"/>
              <w:noProof/>
            </w:rPr>
          </w:pPr>
          <w:hyperlink w:anchor="_Toc151475904" w:history="1">
            <w:r w:rsidR="007F7823" w:rsidRPr="00732F23">
              <w:rPr>
                <w:rStyle w:val="Hyperlink"/>
                <w:noProof/>
                <w14:scene3d>
                  <w14:camera w14:prst="orthographicFront"/>
                  <w14:lightRig w14:rig="threePt" w14:dir="t">
                    <w14:rot w14:lat="0" w14:lon="0" w14:rev="0"/>
                  </w14:lightRig>
                </w14:scene3d>
              </w:rPr>
              <w:t>3.1.1.</w:t>
            </w:r>
            <w:r w:rsidR="007F7823">
              <w:rPr>
                <w:rFonts w:asciiTheme="minorHAnsi" w:eastAsiaTheme="minorEastAsia" w:hAnsiTheme="minorHAnsi" w:cstheme="minorBidi"/>
                <w:i w:val="0"/>
                <w:noProof/>
              </w:rPr>
              <w:tab/>
            </w:r>
            <w:r w:rsidR="007F7823" w:rsidRPr="00732F23">
              <w:rPr>
                <w:rStyle w:val="Hyperlink"/>
                <w:noProof/>
              </w:rPr>
              <w:t>Wahrung der Subsidiarität</w:t>
            </w:r>
            <w:r w:rsidR="007F7823">
              <w:rPr>
                <w:noProof/>
                <w:webHidden/>
              </w:rPr>
              <w:tab/>
            </w:r>
            <w:r w:rsidR="007F7823">
              <w:rPr>
                <w:noProof/>
                <w:webHidden/>
              </w:rPr>
              <w:fldChar w:fldCharType="begin"/>
            </w:r>
            <w:r w:rsidR="007F7823">
              <w:rPr>
                <w:noProof/>
                <w:webHidden/>
              </w:rPr>
              <w:instrText xml:space="preserve"> PAGEREF _Toc151475904 \h </w:instrText>
            </w:r>
            <w:r w:rsidR="007F7823">
              <w:rPr>
                <w:noProof/>
                <w:webHidden/>
              </w:rPr>
            </w:r>
            <w:r w:rsidR="007F7823">
              <w:rPr>
                <w:noProof/>
                <w:webHidden/>
              </w:rPr>
              <w:fldChar w:fldCharType="separate"/>
            </w:r>
            <w:r w:rsidR="007F7823">
              <w:rPr>
                <w:noProof/>
                <w:webHidden/>
              </w:rPr>
              <w:t>5</w:t>
            </w:r>
            <w:r w:rsidR="007F7823">
              <w:rPr>
                <w:noProof/>
                <w:webHidden/>
              </w:rPr>
              <w:fldChar w:fldCharType="end"/>
            </w:r>
          </w:hyperlink>
        </w:p>
        <w:p w14:paraId="57811FB1" w14:textId="65791728" w:rsidR="007F7823" w:rsidRDefault="00AC4866">
          <w:pPr>
            <w:pStyle w:val="Verzeichnis3"/>
            <w:rPr>
              <w:rFonts w:asciiTheme="minorHAnsi" w:eastAsiaTheme="minorEastAsia" w:hAnsiTheme="minorHAnsi" w:cstheme="minorBidi"/>
              <w:i w:val="0"/>
              <w:noProof/>
            </w:rPr>
          </w:pPr>
          <w:hyperlink w:anchor="_Toc151475905" w:history="1">
            <w:r w:rsidR="007F7823" w:rsidRPr="00732F23">
              <w:rPr>
                <w:rStyle w:val="Hyperlink"/>
                <w:noProof/>
                <w14:scene3d>
                  <w14:camera w14:prst="orthographicFront"/>
                  <w14:lightRig w14:rig="threePt" w14:dir="t">
                    <w14:rot w14:lat="0" w14:lon="0" w14:rev="0"/>
                  </w14:lightRig>
                </w14:scene3d>
              </w:rPr>
              <w:t>3.1.2.</w:t>
            </w:r>
            <w:r w:rsidR="007F7823">
              <w:rPr>
                <w:rFonts w:asciiTheme="minorHAnsi" w:eastAsiaTheme="minorEastAsia" w:hAnsiTheme="minorHAnsi" w:cstheme="minorBidi"/>
                <w:i w:val="0"/>
                <w:noProof/>
              </w:rPr>
              <w:tab/>
            </w:r>
            <w:r w:rsidR="007F7823" w:rsidRPr="00732F23">
              <w:rPr>
                <w:rStyle w:val="Hyperlink"/>
                <w:noProof/>
              </w:rPr>
              <w:t>Selbstbewohnter, vertraglich geregelter Wohnraum</w:t>
            </w:r>
            <w:r w:rsidR="007F7823">
              <w:rPr>
                <w:noProof/>
                <w:webHidden/>
              </w:rPr>
              <w:tab/>
            </w:r>
            <w:r w:rsidR="007F7823">
              <w:rPr>
                <w:noProof/>
                <w:webHidden/>
              </w:rPr>
              <w:fldChar w:fldCharType="begin"/>
            </w:r>
            <w:r w:rsidR="007F7823">
              <w:rPr>
                <w:noProof/>
                <w:webHidden/>
              </w:rPr>
              <w:instrText xml:space="preserve"> PAGEREF _Toc151475905 \h </w:instrText>
            </w:r>
            <w:r w:rsidR="007F7823">
              <w:rPr>
                <w:noProof/>
                <w:webHidden/>
              </w:rPr>
            </w:r>
            <w:r w:rsidR="007F7823">
              <w:rPr>
                <w:noProof/>
                <w:webHidden/>
              </w:rPr>
              <w:fldChar w:fldCharType="separate"/>
            </w:r>
            <w:r w:rsidR="007F7823">
              <w:rPr>
                <w:noProof/>
                <w:webHidden/>
              </w:rPr>
              <w:t>5</w:t>
            </w:r>
            <w:r w:rsidR="007F7823">
              <w:rPr>
                <w:noProof/>
                <w:webHidden/>
              </w:rPr>
              <w:fldChar w:fldCharType="end"/>
            </w:r>
          </w:hyperlink>
        </w:p>
        <w:p w14:paraId="0FA9B2E1" w14:textId="7439C6F2" w:rsidR="007F7823" w:rsidRDefault="00AC4866">
          <w:pPr>
            <w:pStyle w:val="Verzeichnis1"/>
            <w:rPr>
              <w:rFonts w:asciiTheme="minorHAnsi" w:eastAsiaTheme="minorEastAsia" w:hAnsiTheme="minorHAnsi" w:cstheme="minorBidi"/>
              <w:noProof/>
              <w:szCs w:val="22"/>
              <w:lang w:eastAsia="de-CH"/>
            </w:rPr>
          </w:pPr>
          <w:hyperlink w:anchor="_Toc151475906" w:history="1">
            <w:r w:rsidR="007F7823" w:rsidRPr="00732F23">
              <w:rPr>
                <w:rStyle w:val="Hyperlink"/>
                <w:noProof/>
              </w:rPr>
              <w:t>4.</w:t>
            </w:r>
            <w:r w:rsidR="007F7823">
              <w:rPr>
                <w:rFonts w:asciiTheme="minorHAnsi" w:eastAsiaTheme="minorEastAsia" w:hAnsiTheme="minorHAnsi" w:cstheme="minorBidi"/>
                <w:noProof/>
                <w:szCs w:val="22"/>
                <w:lang w:eastAsia="de-CH"/>
              </w:rPr>
              <w:tab/>
            </w:r>
            <w:r w:rsidR="007F7823" w:rsidRPr="00732F23">
              <w:rPr>
                <w:rStyle w:val="Hyperlink"/>
                <w:noProof/>
              </w:rPr>
              <w:t>Anspruchsvoraussetzungen</w:t>
            </w:r>
            <w:r w:rsidR="007F7823">
              <w:rPr>
                <w:noProof/>
                <w:webHidden/>
              </w:rPr>
              <w:tab/>
            </w:r>
            <w:r w:rsidR="007F7823">
              <w:rPr>
                <w:noProof/>
                <w:webHidden/>
              </w:rPr>
              <w:fldChar w:fldCharType="begin"/>
            </w:r>
            <w:r w:rsidR="007F7823">
              <w:rPr>
                <w:noProof/>
                <w:webHidden/>
              </w:rPr>
              <w:instrText xml:space="preserve"> PAGEREF _Toc151475906 \h </w:instrText>
            </w:r>
            <w:r w:rsidR="007F7823">
              <w:rPr>
                <w:noProof/>
                <w:webHidden/>
              </w:rPr>
            </w:r>
            <w:r w:rsidR="007F7823">
              <w:rPr>
                <w:noProof/>
                <w:webHidden/>
              </w:rPr>
              <w:fldChar w:fldCharType="separate"/>
            </w:r>
            <w:r w:rsidR="007F7823">
              <w:rPr>
                <w:noProof/>
                <w:webHidden/>
              </w:rPr>
              <w:t>5</w:t>
            </w:r>
            <w:r w:rsidR="007F7823">
              <w:rPr>
                <w:noProof/>
                <w:webHidden/>
              </w:rPr>
              <w:fldChar w:fldCharType="end"/>
            </w:r>
          </w:hyperlink>
        </w:p>
        <w:p w14:paraId="7C401297" w14:textId="067F0856" w:rsidR="007F7823" w:rsidRDefault="00AC4866">
          <w:pPr>
            <w:pStyle w:val="Verzeichnis2"/>
            <w:rPr>
              <w:rFonts w:asciiTheme="minorHAnsi" w:eastAsiaTheme="minorEastAsia" w:hAnsiTheme="minorHAnsi" w:cstheme="minorBidi"/>
              <w:noProof/>
              <w:szCs w:val="22"/>
              <w:lang w:eastAsia="de-CH"/>
            </w:rPr>
          </w:pPr>
          <w:hyperlink w:anchor="_Toc151475907" w:history="1">
            <w:r w:rsidR="007F7823" w:rsidRPr="00732F23">
              <w:rPr>
                <w:rStyle w:val="Hyperlink"/>
                <w:noProof/>
                <w:lang w:eastAsia="de-CH"/>
              </w:rPr>
              <w:t>4.1.</w:t>
            </w:r>
            <w:r w:rsidR="007F7823">
              <w:rPr>
                <w:rFonts w:asciiTheme="minorHAnsi" w:eastAsiaTheme="minorEastAsia" w:hAnsiTheme="minorHAnsi" w:cstheme="minorBidi"/>
                <w:noProof/>
                <w:szCs w:val="22"/>
                <w:lang w:eastAsia="de-CH"/>
              </w:rPr>
              <w:tab/>
            </w:r>
            <w:r w:rsidR="007F7823" w:rsidRPr="00732F23">
              <w:rPr>
                <w:rStyle w:val="Hyperlink"/>
                <w:noProof/>
                <w:lang w:eastAsia="de-CH"/>
              </w:rPr>
              <w:t>Beitragsberechtigte und Definition der Unterstützungseinheit (§ 3 und § 4 MBG)</w:t>
            </w:r>
            <w:r w:rsidR="007F7823">
              <w:rPr>
                <w:noProof/>
                <w:webHidden/>
              </w:rPr>
              <w:tab/>
            </w:r>
            <w:r w:rsidR="007F7823">
              <w:rPr>
                <w:noProof/>
                <w:webHidden/>
              </w:rPr>
              <w:fldChar w:fldCharType="begin"/>
            </w:r>
            <w:r w:rsidR="007F7823">
              <w:rPr>
                <w:noProof/>
                <w:webHidden/>
              </w:rPr>
              <w:instrText xml:space="preserve"> PAGEREF _Toc151475907 \h </w:instrText>
            </w:r>
            <w:r w:rsidR="007F7823">
              <w:rPr>
                <w:noProof/>
                <w:webHidden/>
              </w:rPr>
            </w:r>
            <w:r w:rsidR="007F7823">
              <w:rPr>
                <w:noProof/>
                <w:webHidden/>
              </w:rPr>
              <w:fldChar w:fldCharType="separate"/>
            </w:r>
            <w:r w:rsidR="007F7823">
              <w:rPr>
                <w:noProof/>
                <w:webHidden/>
              </w:rPr>
              <w:t>5</w:t>
            </w:r>
            <w:r w:rsidR="007F7823">
              <w:rPr>
                <w:noProof/>
                <w:webHidden/>
              </w:rPr>
              <w:fldChar w:fldCharType="end"/>
            </w:r>
          </w:hyperlink>
        </w:p>
        <w:p w14:paraId="4116152E" w14:textId="56695CFD" w:rsidR="007F7823" w:rsidRDefault="00AC4866">
          <w:pPr>
            <w:pStyle w:val="Verzeichnis3"/>
            <w:rPr>
              <w:rFonts w:asciiTheme="minorHAnsi" w:eastAsiaTheme="minorEastAsia" w:hAnsiTheme="minorHAnsi" w:cstheme="minorBidi"/>
              <w:i w:val="0"/>
              <w:noProof/>
            </w:rPr>
          </w:pPr>
          <w:hyperlink w:anchor="_Toc151475908" w:history="1">
            <w:r w:rsidR="007F7823" w:rsidRPr="00732F23">
              <w:rPr>
                <w:rStyle w:val="Hyperlink"/>
                <w:noProof/>
                <w14:scene3d>
                  <w14:camera w14:prst="orthographicFront"/>
                  <w14:lightRig w14:rig="threePt" w14:dir="t">
                    <w14:rot w14:lat="0" w14:lon="0" w14:rev="0"/>
                  </w14:lightRig>
                </w14:scene3d>
              </w:rPr>
              <w:t>4.1.1.</w:t>
            </w:r>
            <w:r w:rsidR="007F7823">
              <w:rPr>
                <w:rFonts w:asciiTheme="minorHAnsi" w:eastAsiaTheme="minorEastAsia" w:hAnsiTheme="minorHAnsi" w:cstheme="minorBidi"/>
                <w:i w:val="0"/>
                <w:noProof/>
              </w:rPr>
              <w:tab/>
            </w:r>
            <w:r w:rsidR="007F7823" w:rsidRPr="00732F23">
              <w:rPr>
                <w:rStyle w:val="Hyperlink"/>
                <w:noProof/>
              </w:rPr>
              <w:t>Familien und Alleinerziehende</w:t>
            </w:r>
            <w:r w:rsidR="007F7823">
              <w:rPr>
                <w:noProof/>
                <w:webHidden/>
              </w:rPr>
              <w:tab/>
            </w:r>
            <w:r w:rsidR="007F7823">
              <w:rPr>
                <w:noProof/>
                <w:webHidden/>
              </w:rPr>
              <w:fldChar w:fldCharType="begin"/>
            </w:r>
            <w:r w:rsidR="007F7823">
              <w:rPr>
                <w:noProof/>
                <w:webHidden/>
              </w:rPr>
              <w:instrText xml:space="preserve"> PAGEREF _Toc151475908 \h </w:instrText>
            </w:r>
            <w:r w:rsidR="007F7823">
              <w:rPr>
                <w:noProof/>
                <w:webHidden/>
              </w:rPr>
            </w:r>
            <w:r w:rsidR="007F7823">
              <w:rPr>
                <w:noProof/>
                <w:webHidden/>
              </w:rPr>
              <w:fldChar w:fldCharType="separate"/>
            </w:r>
            <w:r w:rsidR="007F7823">
              <w:rPr>
                <w:noProof/>
                <w:webHidden/>
              </w:rPr>
              <w:t>5</w:t>
            </w:r>
            <w:r w:rsidR="007F7823">
              <w:rPr>
                <w:noProof/>
                <w:webHidden/>
              </w:rPr>
              <w:fldChar w:fldCharType="end"/>
            </w:r>
          </w:hyperlink>
        </w:p>
        <w:p w14:paraId="073755F7" w14:textId="0BF82A5F" w:rsidR="007F7823" w:rsidRDefault="00AC4866">
          <w:pPr>
            <w:pStyle w:val="Verzeichnis3"/>
            <w:rPr>
              <w:rFonts w:asciiTheme="minorHAnsi" w:eastAsiaTheme="minorEastAsia" w:hAnsiTheme="minorHAnsi" w:cstheme="minorBidi"/>
              <w:i w:val="0"/>
              <w:noProof/>
            </w:rPr>
          </w:pPr>
          <w:hyperlink w:anchor="_Toc151475909" w:history="1">
            <w:r w:rsidR="007F7823" w:rsidRPr="00732F23">
              <w:rPr>
                <w:rStyle w:val="Hyperlink"/>
                <w:noProof/>
                <w14:scene3d>
                  <w14:camera w14:prst="orthographicFront"/>
                  <w14:lightRig w14:rig="threePt" w14:dir="t">
                    <w14:rot w14:lat="0" w14:lon="0" w14:rev="0"/>
                  </w14:lightRig>
                </w14:scene3d>
              </w:rPr>
              <w:t>4.1.2.</w:t>
            </w:r>
            <w:r w:rsidR="007F7823">
              <w:rPr>
                <w:rFonts w:asciiTheme="minorHAnsi" w:eastAsiaTheme="minorEastAsia" w:hAnsiTheme="minorHAnsi" w:cstheme="minorBidi"/>
                <w:i w:val="0"/>
                <w:noProof/>
              </w:rPr>
              <w:tab/>
            </w:r>
            <w:r w:rsidR="007F7823" w:rsidRPr="00732F23">
              <w:rPr>
                <w:rStyle w:val="Hyperlink"/>
                <w:noProof/>
              </w:rPr>
              <w:t>Karenzfrist</w:t>
            </w:r>
            <w:r w:rsidR="007F7823">
              <w:rPr>
                <w:noProof/>
                <w:webHidden/>
              </w:rPr>
              <w:tab/>
            </w:r>
            <w:r w:rsidR="007F7823">
              <w:rPr>
                <w:noProof/>
                <w:webHidden/>
              </w:rPr>
              <w:fldChar w:fldCharType="begin"/>
            </w:r>
            <w:r w:rsidR="007F7823">
              <w:rPr>
                <w:noProof/>
                <w:webHidden/>
              </w:rPr>
              <w:instrText xml:space="preserve"> PAGEREF _Toc151475909 \h </w:instrText>
            </w:r>
            <w:r w:rsidR="007F7823">
              <w:rPr>
                <w:noProof/>
                <w:webHidden/>
              </w:rPr>
            </w:r>
            <w:r w:rsidR="007F7823">
              <w:rPr>
                <w:noProof/>
                <w:webHidden/>
              </w:rPr>
              <w:fldChar w:fldCharType="separate"/>
            </w:r>
            <w:r w:rsidR="007F7823">
              <w:rPr>
                <w:noProof/>
                <w:webHidden/>
              </w:rPr>
              <w:t>5</w:t>
            </w:r>
            <w:r w:rsidR="007F7823">
              <w:rPr>
                <w:noProof/>
                <w:webHidden/>
              </w:rPr>
              <w:fldChar w:fldCharType="end"/>
            </w:r>
          </w:hyperlink>
        </w:p>
        <w:p w14:paraId="70E98672" w14:textId="710EC01F" w:rsidR="007F7823" w:rsidRDefault="00AC4866">
          <w:pPr>
            <w:pStyle w:val="Verzeichnis3"/>
            <w:rPr>
              <w:rFonts w:asciiTheme="minorHAnsi" w:eastAsiaTheme="minorEastAsia" w:hAnsiTheme="minorHAnsi" w:cstheme="minorBidi"/>
              <w:i w:val="0"/>
              <w:noProof/>
            </w:rPr>
          </w:pPr>
          <w:hyperlink w:anchor="_Toc151475910" w:history="1">
            <w:r w:rsidR="007F7823" w:rsidRPr="00732F23">
              <w:rPr>
                <w:rStyle w:val="Hyperlink"/>
                <w:noProof/>
                <w14:scene3d>
                  <w14:camera w14:prst="orthographicFront"/>
                  <w14:lightRig w14:rig="threePt" w14:dir="t">
                    <w14:rot w14:lat="0" w14:lon="0" w14:rev="0"/>
                  </w14:lightRig>
                </w14:scene3d>
              </w:rPr>
              <w:t>4.1.3.</w:t>
            </w:r>
            <w:r w:rsidR="007F7823">
              <w:rPr>
                <w:rFonts w:asciiTheme="minorHAnsi" w:eastAsiaTheme="minorEastAsia" w:hAnsiTheme="minorHAnsi" w:cstheme="minorBidi"/>
                <w:i w:val="0"/>
                <w:noProof/>
              </w:rPr>
              <w:tab/>
            </w:r>
            <w:r w:rsidR="007F7823" w:rsidRPr="00732F23">
              <w:rPr>
                <w:rStyle w:val="Hyperlink"/>
                <w:noProof/>
              </w:rPr>
              <w:t>Aufenthaltsstatus</w:t>
            </w:r>
            <w:r w:rsidR="007F7823">
              <w:rPr>
                <w:noProof/>
                <w:webHidden/>
              </w:rPr>
              <w:tab/>
            </w:r>
            <w:r w:rsidR="007F7823">
              <w:rPr>
                <w:noProof/>
                <w:webHidden/>
              </w:rPr>
              <w:fldChar w:fldCharType="begin"/>
            </w:r>
            <w:r w:rsidR="007F7823">
              <w:rPr>
                <w:noProof/>
                <w:webHidden/>
              </w:rPr>
              <w:instrText xml:space="preserve"> PAGEREF _Toc151475910 \h </w:instrText>
            </w:r>
            <w:r w:rsidR="007F7823">
              <w:rPr>
                <w:noProof/>
                <w:webHidden/>
              </w:rPr>
            </w:r>
            <w:r w:rsidR="007F7823">
              <w:rPr>
                <w:noProof/>
                <w:webHidden/>
              </w:rPr>
              <w:fldChar w:fldCharType="separate"/>
            </w:r>
            <w:r w:rsidR="007F7823">
              <w:rPr>
                <w:noProof/>
                <w:webHidden/>
              </w:rPr>
              <w:t>5</w:t>
            </w:r>
            <w:r w:rsidR="007F7823">
              <w:rPr>
                <w:noProof/>
                <w:webHidden/>
              </w:rPr>
              <w:fldChar w:fldCharType="end"/>
            </w:r>
          </w:hyperlink>
        </w:p>
        <w:p w14:paraId="49D7B993" w14:textId="75036DFC" w:rsidR="007F7823" w:rsidRDefault="00AC4866">
          <w:pPr>
            <w:pStyle w:val="Verzeichnis3"/>
            <w:rPr>
              <w:rFonts w:asciiTheme="minorHAnsi" w:eastAsiaTheme="minorEastAsia" w:hAnsiTheme="minorHAnsi" w:cstheme="minorBidi"/>
              <w:i w:val="0"/>
              <w:noProof/>
            </w:rPr>
          </w:pPr>
          <w:hyperlink w:anchor="_Toc151475911" w:history="1">
            <w:r w:rsidR="007F7823" w:rsidRPr="00732F23">
              <w:rPr>
                <w:rStyle w:val="Hyperlink"/>
                <w:noProof/>
                <w14:scene3d>
                  <w14:camera w14:prst="orthographicFront"/>
                  <w14:lightRig w14:rig="threePt" w14:dir="t">
                    <w14:rot w14:lat="0" w14:lon="0" w14:rev="0"/>
                  </w14:lightRig>
                </w14:scene3d>
              </w:rPr>
              <w:t>4.1.4.</w:t>
            </w:r>
            <w:r w:rsidR="007F7823">
              <w:rPr>
                <w:rFonts w:asciiTheme="minorHAnsi" w:eastAsiaTheme="minorEastAsia" w:hAnsiTheme="minorHAnsi" w:cstheme="minorBidi"/>
                <w:i w:val="0"/>
                <w:noProof/>
              </w:rPr>
              <w:tab/>
            </w:r>
            <w:r w:rsidR="007F7823" w:rsidRPr="00732F23">
              <w:rPr>
                <w:rStyle w:val="Hyperlink"/>
                <w:noProof/>
              </w:rPr>
              <w:t>Unterstützungseinheit</w:t>
            </w:r>
            <w:r w:rsidR="007F7823">
              <w:rPr>
                <w:noProof/>
                <w:webHidden/>
              </w:rPr>
              <w:tab/>
            </w:r>
            <w:r w:rsidR="007F7823">
              <w:rPr>
                <w:noProof/>
                <w:webHidden/>
              </w:rPr>
              <w:fldChar w:fldCharType="begin"/>
            </w:r>
            <w:r w:rsidR="007F7823">
              <w:rPr>
                <w:noProof/>
                <w:webHidden/>
              </w:rPr>
              <w:instrText xml:space="preserve"> PAGEREF _Toc151475911 \h </w:instrText>
            </w:r>
            <w:r w:rsidR="007F7823">
              <w:rPr>
                <w:noProof/>
                <w:webHidden/>
              </w:rPr>
            </w:r>
            <w:r w:rsidR="007F7823">
              <w:rPr>
                <w:noProof/>
                <w:webHidden/>
              </w:rPr>
              <w:fldChar w:fldCharType="separate"/>
            </w:r>
            <w:r w:rsidR="007F7823">
              <w:rPr>
                <w:noProof/>
                <w:webHidden/>
              </w:rPr>
              <w:t>5</w:t>
            </w:r>
            <w:r w:rsidR="007F7823">
              <w:rPr>
                <w:noProof/>
                <w:webHidden/>
              </w:rPr>
              <w:fldChar w:fldCharType="end"/>
            </w:r>
          </w:hyperlink>
        </w:p>
        <w:p w14:paraId="73F72779" w14:textId="176CAF96" w:rsidR="007F7823" w:rsidRDefault="00AC4866">
          <w:pPr>
            <w:pStyle w:val="Verzeichnis3"/>
            <w:rPr>
              <w:rFonts w:asciiTheme="minorHAnsi" w:eastAsiaTheme="minorEastAsia" w:hAnsiTheme="minorHAnsi" w:cstheme="minorBidi"/>
              <w:i w:val="0"/>
              <w:noProof/>
            </w:rPr>
          </w:pPr>
          <w:hyperlink w:anchor="_Toc151475912" w:history="1">
            <w:r w:rsidR="007F7823" w:rsidRPr="00732F23">
              <w:rPr>
                <w:rStyle w:val="Hyperlink"/>
                <w:noProof/>
                <w14:scene3d>
                  <w14:camera w14:prst="orthographicFront"/>
                  <w14:lightRig w14:rig="threePt" w14:dir="t">
                    <w14:rot w14:lat="0" w14:lon="0" w14:rev="0"/>
                  </w14:lightRig>
                </w14:scene3d>
              </w:rPr>
              <w:t>4.1.5.</w:t>
            </w:r>
            <w:r w:rsidR="007F7823">
              <w:rPr>
                <w:rFonts w:asciiTheme="minorHAnsi" w:eastAsiaTheme="minorEastAsia" w:hAnsiTheme="minorHAnsi" w:cstheme="minorBidi"/>
                <w:i w:val="0"/>
                <w:noProof/>
              </w:rPr>
              <w:tab/>
            </w:r>
            <w:r w:rsidR="007F7823" w:rsidRPr="00732F23">
              <w:rPr>
                <w:rStyle w:val="Hyperlink"/>
                <w:noProof/>
              </w:rPr>
              <w:t>Geteilte Obhut</w:t>
            </w:r>
            <w:r w:rsidR="007F7823">
              <w:rPr>
                <w:noProof/>
                <w:webHidden/>
              </w:rPr>
              <w:tab/>
            </w:r>
            <w:r w:rsidR="007F7823">
              <w:rPr>
                <w:noProof/>
                <w:webHidden/>
              </w:rPr>
              <w:fldChar w:fldCharType="begin"/>
            </w:r>
            <w:r w:rsidR="007F7823">
              <w:rPr>
                <w:noProof/>
                <w:webHidden/>
              </w:rPr>
              <w:instrText xml:space="preserve"> PAGEREF _Toc151475912 \h </w:instrText>
            </w:r>
            <w:r w:rsidR="007F7823">
              <w:rPr>
                <w:noProof/>
                <w:webHidden/>
              </w:rPr>
            </w:r>
            <w:r w:rsidR="007F7823">
              <w:rPr>
                <w:noProof/>
                <w:webHidden/>
              </w:rPr>
              <w:fldChar w:fldCharType="separate"/>
            </w:r>
            <w:r w:rsidR="007F7823">
              <w:rPr>
                <w:noProof/>
                <w:webHidden/>
              </w:rPr>
              <w:t>6</w:t>
            </w:r>
            <w:r w:rsidR="007F7823">
              <w:rPr>
                <w:noProof/>
                <w:webHidden/>
              </w:rPr>
              <w:fldChar w:fldCharType="end"/>
            </w:r>
          </w:hyperlink>
        </w:p>
        <w:p w14:paraId="6BB23C73" w14:textId="2ABC7607" w:rsidR="007F7823" w:rsidRDefault="00AC4866">
          <w:pPr>
            <w:pStyle w:val="Verzeichnis3"/>
            <w:rPr>
              <w:rFonts w:asciiTheme="minorHAnsi" w:eastAsiaTheme="minorEastAsia" w:hAnsiTheme="minorHAnsi" w:cstheme="minorBidi"/>
              <w:i w:val="0"/>
              <w:noProof/>
            </w:rPr>
          </w:pPr>
          <w:hyperlink w:anchor="_Toc151475913" w:history="1">
            <w:r w:rsidR="007F7823" w:rsidRPr="00732F23">
              <w:rPr>
                <w:rStyle w:val="Hyperlink"/>
                <w:noProof/>
                <w14:scene3d>
                  <w14:camera w14:prst="orthographicFront"/>
                  <w14:lightRig w14:rig="threePt" w14:dir="t">
                    <w14:rot w14:lat="0" w14:lon="0" w14:rev="0"/>
                  </w14:lightRig>
                </w14:scene3d>
              </w:rPr>
              <w:t>4.1.6.</w:t>
            </w:r>
            <w:r w:rsidR="007F7823">
              <w:rPr>
                <w:rFonts w:asciiTheme="minorHAnsi" w:eastAsiaTheme="minorEastAsia" w:hAnsiTheme="minorHAnsi" w:cstheme="minorBidi"/>
                <w:i w:val="0"/>
                <w:noProof/>
              </w:rPr>
              <w:tab/>
            </w:r>
            <w:r w:rsidR="007F7823" w:rsidRPr="00732F23">
              <w:rPr>
                <w:rStyle w:val="Hyperlink"/>
                <w:noProof/>
              </w:rPr>
              <w:t>Kinder bei Pflegeeltern und im Heim lebende Kinder</w:t>
            </w:r>
            <w:r w:rsidR="007F7823">
              <w:rPr>
                <w:noProof/>
                <w:webHidden/>
              </w:rPr>
              <w:tab/>
            </w:r>
            <w:r w:rsidR="007F7823">
              <w:rPr>
                <w:noProof/>
                <w:webHidden/>
              </w:rPr>
              <w:fldChar w:fldCharType="begin"/>
            </w:r>
            <w:r w:rsidR="007F7823">
              <w:rPr>
                <w:noProof/>
                <w:webHidden/>
              </w:rPr>
              <w:instrText xml:space="preserve"> PAGEREF _Toc151475913 \h </w:instrText>
            </w:r>
            <w:r w:rsidR="007F7823">
              <w:rPr>
                <w:noProof/>
                <w:webHidden/>
              </w:rPr>
            </w:r>
            <w:r w:rsidR="007F7823">
              <w:rPr>
                <w:noProof/>
                <w:webHidden/>
              </w:rPr>
              <w:fldChar w:fldCharType="separate"/>
            </w:r>
            <w:r w:rsidR="007F7823">
              <w:rPr>
                <w:noProof/>
                <w:webHidden/>
              </w:rPr>
              <w:t>6</w:t>
            </w:r>
            <w:r w:rsidR="007F7823">
              <w:rPr>
                <w:noProof/>
                <w:webHidden/>
              </w:rPr>
              <w:fldChar w:fldCharType="end"/>
            </w:r>
          </w:hyperlink>
        </w:p>
        <w:p w14:paraId="2FC5EC68" w14:textId="6AA7B2FB" w:rsidR="007F7823" w:rsidRDefault="00AC4866">
          <w:pPr>
            <w:pStyle w:val="Verzeichnis2"/>
            <w:rPr>
              <w:rFonts w:asciiTheme="minorHAnsi" w:eastAsiaTheme="minorEastAsia" w:hAnsiTheme="minorHAnsi" w:cstheme="minorBidi"/>
              <w:noProof/>
              <w:szCs w:val="22"/>
              <w:lang w:eastAsia="de-CH"/>
            </w:rPr>
          </w:pPr>
          <w:hyperlink w:anchor="_Toc151475914" w:history="1">
            <w:r w:rsidR="007F7823" w:rsidRPr="00732F23">
              <w:rPr>
                <w:rStyle w:val="Hyperlink"/>
                <w:noProof/>
              </w:rPr>
              <w:t>4.2.</w:t>
            </w:r>
            <w:r w:rsidR="007F7823">
              <w:rPr>
                <w:rFonts w:asciiTheme="minorHAnsi" w:eastAsiaTheme="minorEastAsia" w:hAnsiTheme="minorHAnsi" w:cstheme="minorBidi"/>
                <w:noProof/>
                <w:szCs w:val="22"/>
                <w:lang w:eastAsia="de-CH"/>
              </w:rPr>
              <w:tab/>
            </w:r>
            <w:r w:rsidR="007F7823" w:rsidRPr="00732F23">
              <w:rPr>
                <w:rStyle w:val="Hyperlink"/>
                <w:noProof/>
              </w:rPr>
              <w:t>Einkommensgrenze (§ 6 MBG i.V.m. § 2 Abs. 1 Vo MBG)</w:t>
            </w:r>
            <w:r w:rsidR="007F7823">
              <w:rPr>
                <w:noProof/>
                <w:webHidden/>
              </w:rPr>
              <w:tab/>
            </w:r>
            <w:r w:rsidR="007F7823">
              <w:rPr>
                <w:noProof/>
                <w:webHidden/>
              </w:rPr>
              <w:fldChar w:fldCharType="begin"/>
            </w:r>
            <w:r w:rsidR="007F7823">
              <w:rPr>
                <w:noProof/>
                <w:webHidden/>
              </w:rPr>
              <w:instrText xml:space="preserve"> PAGEREF _Toc151475914 \h </w:instrText>
            </w:r>
            <w:r w:rsidR="007F7823">
              <w:rPr>
                <w:noProof/>
                <w:webHidden/>
              </w:rPr>
            </w:r>
            <w:r w:rsidR="007F7823">
              <w:rPr>
                <w:noProof/>
                <w:webHidden/>
              </w:rPr>
              <w:fldChar w:fldCharType="separate"/>
            </w:r>
            <w:r w:rsidR="007F7823">
              <w:rPr>
                <w:noProof/>
                <w:webHidden/>
              </w:rPr>
              <w:t>6</w:t>
            </w:r>
            <w:r w:rsidR="007F7823">
              <w:rPr>
                <w:noProof/>
                <w:webHidden/>
              </w:rPr>
              <w:fldChar w:fldCharType="end"/>
            </w:r>
          </w:hyperlink>
        </w:p>
        <w:p w14:paraId="570B2985" w14:textId="3F2FE4AD" w:rsidR="007F7823" w:rsidRDefault="00AC4866">
          <w:pPr>
            <w:pStyle w:val="Verzeichnis2"/>
            <w:rPr>
              <w:rFonts w:asciiTheme="minorHAnsi" w:eastAsiaTheme="minorEastAsia" w:hAnsiTheme="minorHAnsi" w:cstheme="minorBidi"/>
              <w:noProof/>
              <w:szCs w:val="22"/>
              <w:lang w:eastAsia="de-CH"/>
            </w:rPr>
          </w:pPr>
          <w:hyperlink w:anchor="_Toc151475915" w:history="1">
            <w:r w:rsidR="007F7823" w:rsidRPr="00732F23">
              <w:rPr>
                <w:rStyle w:val="Hyperlink"/>
                <w:noProof/>
              </w:rPr>
              <w:t>4.3.</w:t>
            </w:r>
            <w:r w:rsidR="007F7823">
              <w:rPr>
                <w:rFonts w:asciiTheme="minorHAnsi" w:eastAsiaTheme="minorEastAsia" w:hAnsiTheme="minorHAnsi" w:cstheme="minorBidi"/>
                <w:noProof/>
                <w:szCs w:val="22"/>
                <w:lang w:eastAsia="de-CH"/>
              </w:rPr>
              <w:tab/>
            </w:r>
            <w:r w:rsidR="007F7823" w:rsidRPr="00732F23">
              <w:rPr>
                <w:rStyle w:val="Hyperlink"/>
                <w:noProof/>
              </w:rPr>
              <w:t>Vermögensgrenze (§ 7 MBG i.V.m. § 3 Vo MBG)</w:t>
            </w:r>
            <w:r w:rsidR="007F7823">
              <w:rPr>
                <w:noProof/>
                <w:webHidden/>
              </w:rPr>
              <w:tab/>
            </w:r>
            <w:r w:rsidR="007F7823">
              <w:rPr>
                <w:noProof/>
                <w:webHidden/>
              </w:rPr>
              <w:fldChar w:fldCharType="begin"/>
            </w:r>
            <w:r w:rsidR="007F7823">
              <w:rPr>
                <w:noProof/>
                <w:webHidden/>
              </w:rPr>
              <w:instrText xml:space="preserve"> PAGEREF _Toc151475915 \h </w:instrText>
            </w:r>
            <w:r w:rsidR="007F7823">
              <w:rPr>
                <w:noProof/>
                <w:webHidden/>
              </w:rPr>
            </w:r>
            <w:r w:rsidR="007F7823">
              <w:rPr>
                <w:noProof/>
                <w:webHidden/>
              </w:rPr>
              <w:fldChar w:fldCharType="separate"/>
            </w:r>
            <w:r w:rsidR="007F7823">
              <w:rPr>
                <w:noProof/>
                <w:webHidden/>
              </w:rPr>
              <w:t>7</w:t>
            </w:r>
            <w:r w:rsidR="007F7823">
              <w:rPr>
                <w:noProof/>
                <w:webHidden/>
              </w:rPr>
              <w:fldChar w:fldCharType="end"/>
            </w:r>
          </w:hyperlink>
        </w:p>
        <w:p w14:paraId="6244C80E" w14:textId="13AD9CBD" w:rsidR="007F7823" w:rsidRDefault="00AC4866">
          <w:pPr>
            <w:pStyle w:val="Verzeichnis3"/>
            <w:rPr>
              <w:rFonts w:asciiTheme="minorHAnsi" w:eastAsiaTheme="minorEastAsia" w:hAnsiTheme="minorHAnsi" w:cstheme="minorBidi"/>
              <w:i w:val="0"/>
              <w:noProof/>
            </w:rPr>
          </w:pPr>
          <w:hyperlink w:anchor="_Toc151475916" w:history="1">
            <w:r w:rsidR="007F7823" w:rsidRPr="00732F23">
              <w:rPr>
                <w:rStyle w:val="Hyperlink"/>
                <w:noProof/>
                <w14:scene3d>
                  <w14:camera w14:prst="orthographicFront"/>
                  <w14:lightRig w14:rig="threePt" w14:dir="t">
                    <w14:rot w14:lat="0" w14:lon="0" w14:rev="0"/>
                  </w14:lightRig>
                </w14:scene3d>
              </w:rPr>
              <w:t>4.3.1.</w:t>
            </w:r>
            <w:r w:rsidR="007F7823">
              <w:rPr>
                <w:rFonts w:asciiTheme="minorHAnsi" w:eastAsiaTheme="minorEastAsia" w:hAnsiTheme="minorHAnsi" w:cstheme="minorBidi"/>
                <w:i w:val="0"/>
                <w:noProof/>
              </w:rPr>
              <w:tab/>
            </w:r>
            <w:r w:rsidR="007F7823" w:rsidRPr="00732F23">
              <w:rPr>
                <w:rStyle w:val="Hyperlink"/>
                <w:noProof/>
              </w:rPr>
              <w:t>Mindesthöhe</w:t>
            </w:r>
            <w:r w:rsidR="007F7823">
              <w:rPr>
                <w:noProof/>
                <w:webHidden/>
              </w:rPr>
              <w:tab/>
            </w:r>
            <w:r w:rsidR="007F7823">
              <w:rPr>
                <w:noProof/>
                <w:webHidden/>
              </w:rPr>
              <w:fldChar w:fldCharType="begin"/>
            </w:r>
            <w:r w:rsidR="007F7823">
              <w:rPr>
                <w:noProof/>
                <w:webHidden/>
              </w:rPr>
              <w:instrText xml:space="preserve"> PAGEREF _Toc151475916 \h </w:instrText>
            </w:r>
            <w:r w:rsidR="007F7823">
              <w:rPr>
                <w:noProof/>
                <w:webHidden/>
              </w:rPr>
            </w:r>
            <w:r w:rsidR="007F7823">
              <w:rPr>
                <w:noProof/>
                <w:webHidden/>
              </w:rPr>
              <w:fldChar w:fldCharType="separate"/>
            </w:r>
            <w:r w:rsidR="007F7823">
              <w:rPr>
                <w:noProof/>
                <w:webHidden/>
              </w:rPr>
              <w:t>7</w:t>
            </w:r>
            <w:r w:rsidR="007F7823">
              <w:rPr>
                <w:noProof/>
                <w:webHidden/>
              </w:rPr>
              <w:fldChar w:fldCharType="end"/>
            </w:r>
          </w:hyperlink>
        </w:p>
        <w:p w14:paraId="03BB9AC7" w14:textId="0E0465D4" w:rsidR="007F7823" w:rsidRDefault="00AC4866">
          <w:pPr>
            <w:pStyle w:val="Verzeichnis3"/>
            <w:rPr>
              <w:rFonts w:asciiTheme="minorHAnsi" w:eastAsiaTheme="minorEastAsia" w:hAnsiTheme="minorHAnsi" w:cstheme="minorBidi"/>
              <w:i w:val="0"/>
              <w:noProof/>
            </w:rPr>
          </w:pPr>
          <w:hyperlink w:anchor="_Toc151475917" w:history="1">
            <w:r w:rsidR="007F7823" w:rsidRPr="00732F23">
              <w:rPr>
                <w:rStyle w:val="Hyperlink"/>
                <w:noProof/>
                <w14:scene3d>
                  <w14:camera w14:prst="orthographicFront"/>
                  <w14:lightRig w14:rig="threePt" w14:dir="t">
                    <w14:rot w14:lat="0" w14:lon="0" w14:rev="0"/>
                  </w14:lightRig>
                </w14:scene3d>
              </w:rPr>
              <w:t>4.3.2.</w:t>
            </w:r>
            <w:r w:rsidR="007F7823">
              <w:rPr>
                <w:rFonts w:asciiTheme="minorHAnsi" w:eastAsiaTheme="minorEastAsia" w:hAnsiTheme="minorHAnsi" w:cstheme="minorBidi"/>
                <w:i w:val="0"/>
                <w:noProof/>
              </w:rPr>
              <w:tab/>
            </w:r>
            <w:r w:rsidR="007F7823" w:rsidRPr="00732F23">
              <w:rPr>
                <w:rStyle w:val="Hyperlink"/>
                <w:noProof/>
              </w:rPr>
              <w:t>Relevante Vermögenswerte (Auflistung nicht abschliessend)</w:t>
            </w:r>
            <w:r w:rsidR="007F7823">
              <w:rPr>
                <w:noProof/>
                <w:webHidden/>
              </w:rPr>
              <w:tab/>
            </w:r>
            <w:r w:rsidR="007F7823">
              <w:rPr>
                <w:noProof/>
                <w:webHidden/>
              </w:rPr>
              <w:fldChar w:fldCharType="begin"/>
            </w:r>
            <w:r w:rsidR="007F7823">
              <w:rPr>
                <w:noProof/>
                <w:webHidden/>
              </w:rPr>
              <w:instrText xml:space="preserve"> PAGEREF _Toc151475917 \h </w:instrText>
            </w:r>
            <w:r w:rsidR="007F7823">
              <w:rPr>
                <w:noProof/>
                <w:webHidden/>
              </w:rPr>
            </w:r>
            <w:r w:rsidR="007F7823">
              <w:rPr>
                <w:noProof/>
                <w:webHidden/>
              </w:rPr>
              <w:fldChar w:fldCharType="separate"/>
            </w:r>
            <w:r w:rsidR="007F7823">
              <w:rPr>
                <w:noProof/>
                <w:webHidden/>
              </w:rPr>
              <w:t>7</w:t>
            </w:r>
            <w:r w:rsidR="007F7823">
              <w:rPr>
                <w:noProof/>
                <w:webHidden/>
              </w:rPr>
              <w:fldChar w:fldCharType="end"/>
            </w:r>
          </w:hyperlink>
        </w:p>
        <w:p w14:paraId="4F2D8807" w14:textId="5503E1CD" w:rsidR="007F7823" w:rsidRDefault="00AC4866">
          <w:pPr>
            <w:pStyle w:val="Verzeichnis3"/>
            <w:rPr>
              <w:rFonts w:asciiTheme="minorHAnsi" w:eastAsiaTheme="minorEastAsia" w:hAnsiTheme="minorHAnsi" w:cstheme="minorBidi"/>
              <w:i w:val="0"/>
              <w:noProof/>
            </w:rPr>
          </w:pPr>
          <w:hyperlink w:anchor="_Toc151475918" w:history="1">
            <w:r w:rsidR="007F7823" w:rsidRPr="00732F23">
              <w:rPr>
                <w:rStyle w:val="Hyperlink"/>
                <w:noProof/>
                <w14:scene3d>
                  <w14:camera w14:prst="orthographicFront"/>
                  <w14:lightRig w14:rig="threePt" w14:dir="t">
                    <w14:rot w14:lat="0" w14:lon="0" w14:rev="0"/>
                  </w14:lightRig>
                </w14:scene3d>
              </w:rPr>
              <w:t>4.3.3.</w:t>
            </w:r>
            <w:r w:rsidR="007F7823">
              <w:rPr>
                <w:rFonts w:asciiTheme="minorHAnsi" w:eastAsiaTheme="minorEastAsia" w:hAnsiTheme="minorHAnsi" w:cstheme="minorBidi"/>
                <w:i w:val="0"/>
                <w:noProof/>
              </w:rPr>
              <w:tab/>
            </w:r>
            <w:r w:rsidR="007F7823" w:rsidRPr="00732F23">
              <w:rPr>
                <w:rStyle w:val="Hyperlink"/>
                <w:noProof/>
              </w:rPr>
              <w:t>Über 55-jährige Personen</w:t>
            </w:r>
            <w:r w:rsidR="007F7823">
              <w:rPr>
                <w:noProof/>
                <w:webHidden/>
              </w:rPr>
              <w:tab/>
            </w:r>
            <w:r w:rsidR="007F7823">
              <w:rPr>
                <w:noProof/>
                <w:webHidden/>
              </w:rPr>
              <w:fldChar w:fldCharType="begin"/>
            </w:r>
            <w:r w:rsidR="007F7823">
              <w:rPr>
                <w:noProof/>
                <w:webHidden/>
              </w:rPr>
              <w:instrText xml:space="preserve"> PAGEREF _Toc151475918 \h </w:instrText>
            </w:r>
            <w:r w:rsidR="007F7823">
              <w:rPr>
                <w:noProof/>
                <w:webHidden/>
              </w:rPr>
            </w:r>
            <w:r w:rsidR="007F7823">
              <w:rPr>
                <w:noProof/>
                <w:webHidden/>
              </w:rPr>
              <w:fldChar w:fldCharType="separate"/>
            </w:r>
            <w:r w:rsidR="007F7823">
              <w:rPr>
                <w:noProof/>
                <w:webHidden/>
              </w:rPr>
              <w:t>7</w:t>
            </w:r>
            <w:r w:rsidR="007F7823">
              <w:rPr>
                <w:noProof/>
                <w:webHidden/>
              </w:rPr>
              <w:fldChar w:fldCharType="end"/>
            </w:r>
          </w:hyperlink>
        </w:p>
        <w:p w14:paraId="20C8562D" w14:textId="6D8BB868" w:rsidR="007F7823" w:rsidRDefault="00AC4866">
          <w:pPr>
            <w:pStyle w:val="Verzeichnis3"/>
            <w:rPr>
              <w:rFonts w:asciiTheme="minorHAnsi" w:eastAsiaTheme="minorEastAsia" w:hAnsiTheme="minorHAnsi" w:cstheme="minorBidi"/>
              <w:i w:val="0"/>
              <w:noProof/>
            </w:rPr>
          </w:pPr>
          <w:hyperlink w:anchor="_Toc151475919" w:history="1">
            <w:r w:rsidR="007F7823" w:rsidRPr="00732F23">
              <w:rPr>
                <w:rStyle w:val="Hyperlink"/>
                <w:noProof/>
                <w14:scene3d>
                  <w14:camera w14:prst="orthographicFront"/>
                  <w14:lightRig w14:rig="threePt" w14:dir="t">
                    <w14:rot w14:lat="0" w14:lon="0" w14:rev="0"/>
                  </w14:lightRig>
                </w14:scene3d>
              </w:rPr>
              <w:t>4.3.4.</w:t>
            </w:r>
            <w:r w:rsidR="007F7823">
              <w:rPr>
                <w:rFonts w:asciiTheme="minorHAnsi" w:eastAsiaTheme="minorEastAsia" w:hAnsiTheme="minorHAnsi" w:cstheme="minorBidi"/>
                <w:i w:val="0"/>
                <w:noProof/>
              </w:rPr>
              <w:tab/>
            </w:r>
            <w:r w:rsidR="007F7823" w:rsidRPr="00732F23">
              <w:rPr>
                <w:rStyle w:val="Hyperlink"/>
                <w:noProof/>
              </w:rPr>
              <w:t>Kindesvermögen</w:t>
            </w:r>
            <w:r w:rsidR="007F7823">
              <w:rPr>
                <w:noProof/>
                <w:webHidden/>
              </w:rPr>
              <w:tab/>
            </w:r>
            <w:r w:rsidR="007F7823">
              <w:rPr>
                <w:noProof/>
                <w:webHidden/>
              </w:rPr>
              <w:fldChar w:fldCharType="begin"/>
            </w:r>
            <w:r w:rsidR="007F7823">
              <w:rPr>
                <w:noProof/>
                <w:webHidden/>
              </w:rPr>
              <w:instrText xml:space="preserve"> PAGEREF _Toc151475919 \h </w:instrText>
            </w:r>
            <w:r w:rsidR="007F7823">
              <w:rPr>
                <w:noProof/>
                <w:webHidden/>
              </w:rPr>
            </w:r>
            <w:r w:rsidR="007F7823">
              <w:rPr>
                <w:noProof/>
                <w:webHidden/>
              </w:rPr>
              <w:fldChar w:fldCharType="separate"/>
            </w:r>
            <w:r w:rsidR="007F7823">
              <w:rPr>
                <w:noProof/>
                <w:webHidden/>
              </w:rPr>
              <w:t>7</w:t>
            </w:r>
            <w:r w:rsidR="007F7823">
              <w:rPr>
                <w:noProof/>
                <w:webHidden/>
              </w:rPr>
              <w:fldChar w:fldCharType="end"/>
            </w:r>
          </w:hyperlink>
        </w:p>
        <w:p w14:paraId="409EC9D3" w14:textId="3D68D59D" w:rsidR="007F7823" w:rsidRDefault="00AC4866">
          <w:pPr>
            <w:pStyle w:val="Verzeichnis3"/>
            <w:rPr>
              <w:rFonts w:asciiTheme="minorHAnsi" w:eastAsiaTheme="minorEastAsia" w:hAnsiTheme="minorHAnsi" w:cstheme="minorBidi"/>
              <w:i w:val="0"/>
              <w:noProof/>
            </w:rPr>
          </w:pPr>
          <w:hyperlink w:anchor="_Toc151475920" w:history="1">
            <w:r w:rsidR="007F7823" w:rsidRPr="00732F23">
              <w:rPr>
                <w:rStyle w:val="Hyperlink"/>
                <w:noProof/>
                <w14:scene3d>
                  <w14:camera w14:prst="orthographicFront"/>
                  <w14:lightRig w14:rig="threePt" w14:dir="t">
                    <w14:rot w14:lat="0" w14:lon="0" w14:rev="0"/>
                  </w14:lightRig>
                </w14:scene3d>
              </w:rPr>
              <w:t>4.3.5.</w:t>
            </w:r>
            <w:r w:rsidR="007F7823">
              <w:rPr>
                <w:rFonts w:asciiTheme="minorHAnsi" w:eastAsiaTheme="minorEastAsia" w:hAnsiTheme="minorHAnsi" w:cstheme="minorBidi"/>
                <w:i w:val="0"/>
                <w:noProof/>
              </w:rPr>
              <w:tab/>
            </w:r>
            <w:r w:rsidR="007F7823" w:rsidRPr="00732F23">
              <w:rPr>
                <w:rStyle w:val="Hyperlink"/>
                <w:noProof/>
              </w:rPr>
              <w:t>Motofahrzeuge</w:t>
            </w:r>
            <w:r w:rsidR="007F7823">
              <w:rPr>
                <w:noProof/>
                <w:webHidden/>
              </w:rPr>
              <w:tab/>
            </w:r>
            <w:r w:rsidR="007F7823">
              <w:rPr>
                <w:noProof/>
                <w:webHidden/>
              </w:rPr>
              <w:fldChar w:fldCharType="begin"/>
            </w:r>
            <w:r w:rsidR="007F7823">
              <w:rPr>
                <w:noProof/>
                <w:webHidden/>
              </w:rPr>
              <w:instrText xml:space="preserve"> PAGEREF _Toc151475920 \h </w:instrText>
            </w:r>
            <w:r w:rsidR="007F7823">
              <w:rPr>
                <w:noProof/>
                <w:webHidden/>
              </w:rPr>
            </w:r>
            <w:r w:rsidR="007F7823">
              <w:rPr>
                <w:noProof/>
                <w:webHidden/>
              </w:rPr>
              <w:fldChar w:fldCharType="separate"/>
            </w:r>
            <w:r w:rsidR="007F7823">
              <w:rPr>
                <w:noProof/>
                <w:webHidden/>
              </w:rPr>
              <w:t>7</w:t>
            </w:r>
            <w:r w:rsidR="007F7823">
              <w:rPr>
                <w:noProof/>
                <w:webHidden/>
              </w:rPr>
              <w:fldChar w:fldCharType="end"/>
            </w:r>
          </w:hyperlink>
        </w:p>
        <w:p w14:paraId="26B17673" w14:textId="02A83475" w:rsidR="007F7823" w:rsidRDefault="00AC4866">
          <w:pPr>
            <w:pStyle w:val="Verzeichnis1"/>
            <w:rPr>
              <w:rFonts w:asciiTheme="minorHAnsi" w:eastAsiaTheme="minorEastAsia" w:hAnsiTheme="minorHAnsi" w:cstheme="minorBidi"/>
              <w:noProof/>
              <w:szCs w:val="22"/>
              <w:lang w:eastAsia="de-CH"/>
            </w:rPr>
          </w:pPr>
          <w:hyperlink w:anchor="_Toc151475921" w:history="1">
            <w:r w:rsidR="007F7823" w:rsidRPr="00732F23">
              <w:rPr>
                <w:rStyle w:val="Hyperlink"/>
                <w:noProof/>
              </w:rPr>
              <w:t>5.</w:t>
            </w:r>
            <w:r w:rsidR="007F7823">
              <w:rPr>
                <w:rFonts w:asciiTheme="minorHAnsi" w:eastAsiaTheme="minorEastAsia" w:hAnsiTheme="minorHAnsi" w:cstheme="minorBidi"/>
                <w:noProof/>
                <w:szCs w:val="22"/>
                <w:lang w:eastAsia="de-CH"/>
              </w:rPr>
              <w:tab/>
            </w:r>
            <w:r w:rsidR="007F7823" w:rsidRPr="00732F23">
              <w:rPr>
                <w:rStyle w:val="Hyperlink"/>
                <w:noProof/>
              </w:rPr>
              <w:t>Definition der Mietzinsbeitragshöhe</w:t>
            </w:r>
            <w:r w:rsidR="007F7823">
              <w:rPr>
                <w:noProof/>
                <w:webHidden/>
              </w:rPr>
              <w:tab/>
            </w:r>
            <w:r w:rsidR="007F7823">
              <w:rPr>
                <w:noProof/>
                <w:webHidden/>
              </w:rPr>
              <w:fldChar w:fldCharType="begin"/>
            </w:r>
            <w:r w:rsidR="007F7823">
              <w:rPr>
                <w:noProof/>
                <w:webHidden/>
              </w:rPr>
              <w:instrText xml:space="preserve"> PAGEREF _Toc151475921 \h </w:instrText>
            </w:r>
            <w:r w:rsidR="007F7823">
              <w:rPr>
                <w:noProof/>
                <w:webHidden/>
              </w:rPr>
            </w:r>
            <w:r w:rsidR="007F7823">
              <w:rPr>
                <w:noProof/>
                <w:webHidden/>
              </w:rPr>
              <w:fldChar w:fldCharType="separate"/>
            </w:r>
            <w:r w:rsidR="007F7823">
              <w:rPr>
                <w:noProof/>
                <w:webHidden/>
              </w:rPr>
              <w:t>8</w:t>
            </w:r>
            <w:r w:rsidR="007F7823">
              <w:rPr>
                <w:noProof/>
                <w:webHidden/>
              </w:rPr>
              <w:fldChar w:fldCharType="end"/>
            </w:r>
          </w:hyperlink>
        </w:p>
        <w:p w14:paraId="0119E89B" w14:textId="7FF99BCB" w:rsidR="007F7823" w:rsidRDefault="00AC4866">
          <w:pPr>
            <w:pStyle w:val="Verzeichnis2"/>
            <w:rPr>
              <w:rFonts w:asciiTheme="minorHAnsi" w:eastAsiaTheme="minorEastAsia" w:hAnsiTheme="minorHAnsi" w:cstheme="minorBidi"/>
              <w:noProof/>
              <w:szCs w:val="22"/>
              <w:lang w:eastAsia="de-CH"/>
            </w:rPr>
          </w:pPr>
          <w:hyperlink w:anchor="_Toc151475922" w:history="1">
            <w:r w:rsidR="007F7823" w:rsidRPr="00732F23">
              <w:rPr>
                <w:rStyle w:val="Hyperlink"/>
                <w:noProof/>
              </w:rPr>
              <w:t>5.1.</w:t>
            </w:r>
            <w:r w:rsidR="007F7823">
              <w:rPr>
                <w:rFonts w:asciiTheme="minorHAnsi" w:eastAsiaTheme="minorEastAsia" w:hAnsiTheme="minorHAnsi" w:cstheme="minorBidi"/>
                <w:noProof/>
                <w:szCs w:val="22"/>
                <w:lang w:eastAsia="de-CH"/>
              </w:rPr>
              <w:tab/>
            </w:r>
            <w:r w:rsidR="007F7823" w:rsidRPr="00732F23">
              <w:rPr>
                <w:rStyle w:val="Hyperlink"/>
                <w:noProof/>
              </w:rPr>
              <w:t>Höhe des Mietzinsbeitrages (§ 5 Abs. 1 und 2 MBG)</w:t>
            </w:r>
            <w:r w:rsidR="007F7823">
              <w:rPr>
                <w:noProof/>
                <w:webHidden/>
              </w:rPr>
              <w:tab/>
            </w:r>
            <w:r w:rsidR="007F7823">
              <w:rPr>
                <w:noProof/>
                <w:webHidden/>
              </w:rPr>
              <w:fldChar w:fldCharType="begin"/>
            </w:r>
            <w:r w:rsidR="007F7823">
              <w:rPr>
                <w:noProof/>
                <w:webHidden/>
              </w:rPr>
              <w:instrText xml:space="preserve"> PAGEREF _Toc151475922 \h </w:instrText>
            </w:r>
            <w:r w:rsidR="007F7823">
              <w:rPr>
                <w:noProof/>
                <w:webHidden/>
              </w:rPr>
            </w:r>
            <w:r w:rsidR="007F7823">
              <w:rPr>
                <w:noProof/>
                <w:webHidden/>
              </w:rPr>
              <w:fldChar w:fldCharType="separate"/>
            </w:r>
            <w:r w:rsidR="007F7823">
              <w:rPr>
                <w:noProof/>
                <w:webHidden/>
              </w:rPr>
              <w:t>8</w:t>
            </w:r>
            <w:r w:rsidR="007F7823">
              <w:rPr>
                <w:noProof/>
                <w:webHidden/>
              </w:rPr>
              <w:fldChar w:fldCharType="end"/>
            </w:r>
          </w:hyperlink>
        </w:p>
        <w:p w14:paraId="59FD3914" w14:textId="4CB19759" w:rsidR="007F7823" w:rsidRDefault="00AC4866">
          <w:pPr>
            <w:pStyle w:val="Verzeichnis3"/>
            <w:rPr>
              <w:rFonts w:asciiTheme="minorHAnsi" w:eastAsiaTheme="minorEastAsia" w:hAnsiTheme="minorHAnsi" w:cstheme="minorBidi"/>
              <w:i w:val="0"/>
              <w:noProof/>
            </w:rPr>
          </w:pPr>
          <w:hyperlink w:anchor="_Toc151475923" w:history="1">
            <w:r w:rsidR="007F7823" w:rsidRPr="00732F23">
              <w:rPr>
                <w:rStyle w:val="Hyperlink"/>
                <w:noProof/>
                <w14:scene3d>
                  <w14:camera w14:prst="orthographicFront"/>
                  <w14:lightRig w14:rig="threePt" w14:dir="t">
                    <w14:rot w14:lat="0" w14:lon="0" w14:rev="0"/>
                  </w14:lightRig>
                </w14:scene3d>
              </w:rPr>
              <w:t>5.1.1.</w:t>
            </w:r>
            <w:r w:rsidR="007F7823">
              <w:rPr>
                <w:rFonts w:asciiTheme="minorHAnsi" w:eastAsiaTheme="minorEastAsia" w:hAnsiTheme="minorHAnsi" w:cstheme="minorBidi"/>
                <w:i w:val="0"/>
                <w:noProof/>
              </w:rPr>
              <w:tab/>
            </w:r>
            <w:r w:rsidR="007F7823" w:rsidRPr="00732F23">
              <w:rPr>
                <w:rStyle w:val="Hyperlink"/>
                <w:noProof/>
              </w:rPr>
              <w:t>Grundlagen für die Berechnung</w:t>
            </w:r>
            <w:r w:rsidR="007F7823">
              <w:rPr>
                <w:noProof/>
                <w:webHidden/>
              </w:rPr>
              <w:tab/>
            </w:r>
            <w:r w:rsidR="007F7823">
              <w:rPr>
                <w:noProof/>
                <w:webHidden/>
              </w:rPr>
              <w:fldChar w:fldCharType="begin"/>
            </w:r>
            <w:r w:rsidR="007F7823">
              <w:rPr>
                <w:noProof/>
                <w:webHidden/>
              </w:rPr>
              <w:instrText xml:space="preserve"> PAGEREF _Toc151475923 \h </w:instrText>
            </w:r>
            <w:r w:rsidR="007F7823">
              <w:rPr>
                <w:noProof/>
                <w:webHidden/>
              </w:rPr>
            </w:r>
            <w:r w:rsidR="007F7823">
              <w:rPr>
                <w:noProof/>
                <w:webHidden/>
              </w:rPr>
              <w:fldChar w:fldCharType="separate"/>
            </w:r>
            <w:r w:rsidR="007F7823">
              <w:rPr>
                <w:noProof/>
                <w:webHidden/>
              </w:rPr>
              <w:t>8</w:t>
            </w:r>
            <w:r w:rsidR="007F7823">
              <w:rPr>
                <w:noProof/>
                <w:webHidden/>
              </w:rPr>
              <w:fldChar w:fldCharType="end"/>
            </w:r>
          </w:hyperlink>
        </w:p>
        <w:p w14:paraId="6283AC00" w14:textId="443B9FFF" w:rsidR="007F7823" w:rsidRDefault="00AC4866">
          <w:pPr>
            <w:pStyle w:val="Verzeichnis3"/>
            <w:rPr>
              <w:rFonts w:asciiTheme="minorHAnsi" w:eastAsiaTheme="minorEastAsia" w:hAnsiTheme="minorHAnsi" w:cstheme="minorBidi"/>
              <w:i w:val="0"/>
              <w:noProof/>
            </w:rPr>
          </w:pPr>
          <w:hyperlink w:anchor="_Toc151475924" w:history="1">
            <w:r w:rsidR="007F7823" w:rsidRPr="00732F23">
              <w:rPr>
                <w:rStyle w:val="Hyperlink"/>
                <w:noProof/>
                <w14:scene3d>
                  <w14:camera w14:prst="orthographicFront"/>
                  <w14:lightRig w14:rig="threePt" w14:dir="t">
                    <w14:rot w14:lat="0" w14:lon="0" w14:rev="0"/>
                  </w14:lightRig>
                </w14:scene3d>
              </w:rPr>
              <w:t>5.1.2.</w:t>
            </w:r>
            <w:r w:rsidR="007F7823">
              <w:rPr>
                <w:rFonts w:asciiTheme="minorHAnsi" w:eastAsiaTheme="minorEastAsia" w:hAnsiTheme="minorHAnsi" w:cstheme="minorBidi"/>
                <w:i w:val="0"/>
                <w:noProof/>
              </w:rPr>
              <w:tab/>
            </w:r>
            <w:r w:rsidR="007F7823" w:rsidRPr="00732F23">
              <w:rPr>
                <w:rStyle w:val="Hyperlink"/>
                <w:noProof/>
              </w:rPr>
              <w:t>Berechnung Mietzinsbeitrag</w:t>
            </w:r>
            <w:r w:rsidR="007F7823">
              <w:rPr>
                <w:noProof/>
                <w:webHidden/>
              </w:rPr>
              <w:tab/>
            </w:r>
            <w:r w:rsidR="007F7823">
              <w:rPr>
                <w:noProof/>
                <w:webHidden/>
              </w:rPr>
              <w:fldChar w:fldCharType="begin"/>
            </w:r>
            <w:r w:rsidR="007F7823">
              <w:rPr>
                <w:noProof/>
                <w:webHidden/>
              </w:rPr>
              <w:instrText xml:space="preserve"> PAGEREF _Toc151475924 \h </w:instrText>
            </w:r>
            <w:r w:rsidR="007F7823">
              <w:rPr>
                <w:noProof/>
                <w:webHidden/>
              </w:rPr>
            </w:r>
            <w:r w:rsidR="007F7823">
              <w:rPr>
                <w:noProof/>
                <w:webHidden/>
              </w:rPr>
              <w:fldChar w:fldCharType="separate"/>
            </w:r>
            <w:r w:rsidR="007F7823">
              <w:rPr>
                <w:noProof/>
                <w:webHidden/>
              </w:rPr>
              <w:t>8</w:t>
            </w:r>
            <w:r w:rsidR="007F7823">
              <w:rPr>
                <w:noProof/>
                <w:webHidden/>
              </w:rPr>
              <w:fldChar w:fldCharType="end"/>
            </w:r>
          </w:hyperlink>
        </w:p>
        <w:p w14:paraId="706A6B57" w14:textId="35DCFA9B" w:rsidR="007F7823" w:rsidRDefault="00AC4866">
          <w:pPr>
            <w:pStyle w:val="Verzeichnis2"/>
            <w:rPr>
              <w:rFonts w:asciiTheme="minorHAnsi" w:eastAsiaTheme="minorEastAsia" w:hAnsiTheme="minorHAnsi" w:cstheme="minorBidi"/>
              <w:noProof/>
              <w:szCs w:val="22"/>
              <w:lang w:eastAsia="de-CH"/>
            </w:rPr>
          </w:pPr>
          <w:hyperlink w:anchor="_Toc151475925" w:history="1">
            <w:r w:rsidR="007F7823" w:rsidRPr="00732F23">
              <w:rPr>
                <w:rStyle w:val="Hyperlink"/>
                <w:bCs/>
                <w:noProof/>
              </w:rPr>
              <w:t>5.2.</w:t>
            </w:r>
            <w:r w:rsidR="007F7823">
              <w:rPr>
                <w:rFonts w:asciiTheme="minorHAnsi" w:eastAsiaTheme="minorEastAsia" w:hAnsiTheme="minorHAnsi" w:cstheme="minorBidi"/>
                <w:noProof/>
                <w:szCs w:val="22"/>
                <w:lang w:eastAsia="de-CH"/>
              </w:rPr>
              <w:tab/>
            </w:r>
            <w:r w:rsidR="007F7823" w:rsidRPr="00732F23">
              <w:rPr>
                <w:rStyle w:val="Hyperlink"/>
                <w:noProof/>
              </w:rPr>
              <w:t>Mietzinshöchstbeitrag (§ 5 Abs. 4 MBG i.V.m. § 1 Abs. 2 und 3 Vo MBG)</w:t>
            </w:r>
            <w:r w:rsidR="007F7823">
              <w:rPr>
                <w:noProof/>
                <w:webHidden/>
              </w:rPr>
              <w:tab/>
            </w:r>
            <w:r w:rsidR="007F7823">
              <w:rPr>
                <w:noProof/>
                <w:webHidden/>
              </w:rPr>
              <w:fldChar w:fldCharType="begin"/>
            </w:r>
            <w:r w:rsidR="007F7823">
              <w:rPr>
                <w:noProof/>
                <w:webHidden/>
              </w:rPr>
              <w:instrText xml:space="preserve"> PAGEREF _Toc151475925 \h </w:instrText>
            </w:r>
            <w:r w:rsidR="007F7823">
              <w:rPr>
                <w:noProof/>
                <w:webHidden/>
              </w:rPr>
            </w:r>
            <w:r w:rsidR="007F7823">
              <w:rPr>
                <w:noProof/>
                <w:webHidden/>
              </w:rPr>
              <w:fldChar w:fldCharType="separate"/>
            </w:r>
            <w:r w:rsidR="007F7823">
              <w:rPr>
                <w:noProof/>
                <w:webHidden/>
              </w:rPr>
              <w:t>8</w:t>
            </w:r>
            <w:r w:rsidR="007F7823">
              <w:rPr>
                <w:noProof/>
                <w:webHidden/>
              </w:rPr>
              <w:fldChar w:fldCharType="end"/>
            </w:r>
          </w:hyperlink>
        </w:p>
        <w:p w14:paraId="3DA4E5A9" w14:textId="2AEFC5AD" w:rsidR="007F7823" w:rsidRDefault="00AC4866">
          <w:pPr>
            <w:pStyle w:val="Verzeichnis3"/>
            <w:rPr>
              <w:rFonts w:asciiTheme="minorHAnsi" w:eastAsiaTheme="minorEastAsia" w:hAnsiTheme="minorHAnsi" w:cstheme="minorBidi"/>
              <w:i w:val="0"/>
              <w:noProof/>
            </w:rPr>
          </w:pPr>
          <w:hyperlink w:anchor="_Toc151475926" w:history="1">
            <w:r w:rsidR="007F7823" w:rsidRPr="00732F23">
              <w:rPr>
                <w:rStyle w:val="Hyperlink"/>
                <w:noProof/>
                <w14:scene3d>
                  <w14:camera w14:prst="orthographicFront"/>
                  <w14:lightRig w14:rig="threePt" w14:dir="t">
                    <w14:rot w14:lat="0" w14:lon="0" w14:rev="0"/>
                  </w14:lightRig>
                </w14:scene3d>
              </w:rPr>
              <w:t>5.2.1.</w:t>
            </w:r>
            <w:r w:rsidR="007F7823">
              <w:rPr>
                <w:rFonts w:asciiTheme="minorHAnsi" w:eastAsiaTheme="minorEastAsia" w:hAnsiTheme="minorHAnsi" w:cstheme="minorBidi"/>
                <w:i w:val="0"/>
                <w:noProof/>
              </w:rPr>
              <w:tab/>
            </w:r>
            <w:r w:rsidR="007F7823" w:rsidRPr="00732F23">
              <w:rPr>
                <w:rStyle w:val="Hyperlink"/>
                <w:noProof/>
              </w:rPr>
              <w:t>Definition Mietzinshöchstbeitrag</w:t>
            </w:r>
            <w:r w:rsidR="007F7823">
              <w:rPr>
                <w:noProof/>
                <w:webHidden/>
              </w:rPr>
              <w:tab/>
            </w:r>
            <w:r w:rsidR="007F7823">
              <w:rPr>
                <w:noProof/>
                <w:webHidden/>
              </w:rPr>
              <w:fldChar w:fldCharType="begin"/>
            </w:r>
            <w:r w:rsidR="007F7823">
              <w:rPr>
                <w:noProof/>
                <w:webHidden/>
              </w:rPr>
              <w:instrText xml:space="preserve"> PAGEREF _Toc151475926 \h </w:instrText>
            </w:r>
            <w:r w:rsidR="007F7823">
              <w:rPr>
                <w:noProof/>
                <w:webHidden/>
              </w:rPr>
            </w:r>
            <w:r w:rsidR="007F7823">
              <w:rPr>
                <w:noProof/>
                <w:webHidden/>
              </w:rPr>
              <w:fldChar w:fldCharType="separate"/>
            </w:r>
            <w:r w:rsidR="007F7823">
              <w:rPr>
                <w:noProof/>
                <w:webHidden/>
              </w:rPr>
              <w:t>8</w:t>
            </w:r>
            <w:r w:rsidR="007F7823">
              <w:rPr>
                <w:noProof/>
                <w:webHidden/>
              </w:rPr>
              <w:fldChar w:fldCharType="end"/>
            </w:r>
          </w:hyperlink>
        </w:p>
        <w:p w14:paraId="7A0B6460" w14:textId="3CEEA074" w:rsidR="007F7823" w:rsidRDefault="00AC4866">
          <w:pPr>
            <w:pStyle w:val="Verzeichnis3"/>
            <w:rPr>
              <w:rFonts w:asciiTheme="minorHAnsi" w:eastAsiaTheme="minorEastAsia" w:hAnsiTheme="minorHAnsi" w:cstheme="minorBidi"/>
              <w:i w:val="0"/>
              <w:noProof/>
            </w:rPr>
          </w:pPr>
          <w:hyperlink w:anchor="_Toc151475927" w:history="1">
            <w:r w:rsidR="007F7823" w:rsidRPr="00732F23">
              <w:rPr>
                <w:rStyle w:val="Hyperlink"/>
                <w:noProof/>
                <w14:scene3d>
                  <w14:camera w14:prst="orthographicFront"/>
                  <w14:lightRig w14:rig="threePt" w14:dir="t">
                    <w14:rot w14:lat="0" w14:lon="0" w14:rev="0"/>
                  </w14:lightRig>
                </w14:scene3d>
              </w:rPr>
              <w:t>5.2.2.</w:t>
            </w:r>
            <w:r w:rsidR="007F7823">
              <w:rPr>
                <w:rFonts w:asciiTheme="minorHAnsi" w:eastAsiaTheme="minorEastAsia" w:hAnsiTheme="minorHAnsi" w:cstheme="minorBidi"/>
                <w:i w:val="0"/>
                <w:noProof/>
              </w:rPr>
              <w:tab/>
            </w:r>
            <w:r w:rsidR="007F7823" w:rsidRPr="00732F23">
              <w:rPr>
                <w:rStyle w:val="Hyperlink"/>
                <w:noProof/>
              </w:rPr>
              <w:t>Ausnahmefälle</w:t>
            </w:r>
            <w:r w:rsidR="007F7823">
              <w:rPr>
                <w:noProof/>
                <w:webHidden/>
              </w:rPr>
              <w:tab/>
            </w:r>
            <w:r w:rsidR="007F7823">
              <w:rPr>
                <w:noProof/>
                <w:webHidden/>
              </w:rPr>
              <w:fldChar w:fldCharType="begin"/>
            </w:r>
            <w:r w:rsidR="007F7823">
              <w:rPr>
                <w:noProof/>
                <w:webHidden/>
              </w:rPr>
              <w:instrText xml:space="preserve"> PAGEREF _Toc151475927 \h </w:instrText>
            </w:r>
            <w:r w:rsidR="007F7823">
              <w:rPr>
                <w:noProof/>
                <w:webHidden/>
              </w:rPr>
            </w:r>
            <w:r w:rsidR="007F7823">
              <w:rPr>
                <w:noProof/>
                <w:webHidden/>
              </w:rPr>
              <w:fldChar w:fldCharType="separate"/>
            </w:r>
            <w:r w:rsidR="007F7823">
              <w:rPr>
                <w:noProof/>
                <w:webHidden/>
              </w:rPr>
              <w:t>8</w:t>
            </w:r>
            <w:r w:rsidR="007F7823">
              <w:rPr>
                <w:noProof/>
                <w:webHidden/>
              </w:rPr>
              <w:fldChar w:fldCharType="end"/>
            </w:r>
          </w:hyperlink>
        </w:p>
        <w:p w14:paraId="2216AADE" w14:textId="62203EF9" w:rsidR="007F7823" w:rsidRDefault="00AC4866">
          <w:pPr>
            <w:pStyle w:val="Verzeichnis2"/>
            <w:rPr>
              <w:rFonts w:asciiTheme="minorHAnsi" w:eastAsiaTheme="minorEastAsia" w:hAnsiTheme="minorHAnsi" w:cstheme="minorBidi"/>
              <w:noProof/>
              <w:szCs w:val="22"/>
              <w:lang w:eastAsia="de-CH"/>
            </w:rPr>
          </w:pPr>
          <w:hyperlink w:anchor="_Toc151475928" w:history="1">
            <w:r w:rsidR="007F7823" w:rsidRPr="00732F23">
              <w:rPr>
                <w:rStyle w:val="Hyperlink"/>
                <w:noProof/>
              </w:rPr>
              <w:t>5.3.</w:t>
            </w:r>
            <w:r w:rsidR="007F7823">
              <w:rPr>
                <w:rFonts w:asciiTheme="minorHAnsi" w:eastAsiaTheme="minorEastAsia" w:hAnsiTheme="minorHAnsi" w:cstheme="minorBidi"/>
                <w:noProof/>
                <w:szCs w:val="22"/>
                <w:lang w:eastAsia="de-CH"/>
              </w:rPr>
              <w:tab/>
            </w:r>
            <w:r w:rsidR="007F7823" w:rsidRPr="00732F23">
              <w:rPr>
                <w:rStyle w:val="Hyperlink"/>
                <w:noProof/>
              </w:rPr>
              <w:t>Jahresnettomiete (§ 5 Abs. 3 und 5 MBG)</w:t>
            </w:r>
            <w:r w:rsidR="007F7823">
              <w:rPr>
                <w:noProof/>
                <w:webHidden/>
              </w:rPr>
              <w:tab/>
            </w:r>
            <w:r w:rsidR="007F7823">
              <w:rPr>
                <w:noProof/>
                <w:webHidden/>
              </w:rPr>
              <w:fldChar w:fldCharType="begin"/>
            </w:r>
            <w:r w:rsidR="007F7823">
              <w:rPr>
                <w:noProof/>
                <w:webHidden/>
              </w:rPr>
              <w:instrText xml:space="preserve"> PAGEREF _Toc151475928 \h </w:instrText>
            </w:r>
            <w:r w:rsidR="007F7823">
              <w:rPr>
                <w:noProof/>
                <w:webHidden/>
              </w:rPr>
            </w:r>
            <w:r w:rsidR="007F7823">
              <w:rPr>
                <w:noProof/>
                <w:webHidden/>
              </w:rPr>
              <w:fldChar w:fldCharType="separate"/>
            </w:r>
            <w:r w:rsidR="007F7823">
              <w:rPr>
                <w:noProof/>
                <w:webHidden/>
              </w:rPr>
              <w:t>8</w:t>
            </w:r>
            <w:r w:rsidR="007F7823">
              <w:rPr>
                <w:noProof/>
                <w:webHidden/>
              </w:rPr>
              <w:fldChar w:fldCharType="end"/>
            </w:r>
          </w:hyperlink>
        </w:p>
        <w:p w14:paraId="5AA5C104" w14:textId="4CD2E5AD" w:rsidR="007F7823" w:rsidRDefault="00AC4866">
          <w:pPr>
            <w:pStyle w:val="Verzeichnis3"/>
            <w:rPr>
              <w:rFonts w:asciiTheme="minorHAnsi" w:eastAsiaTheme="minorEastAsia" w:hAnsiTheme="minorHAnsi" w:cstheme="minorBidi"/>
              <w:i w:val="0"/>
              <w:noProof/>
            </w:rPr>
          </w:pPr>
          <w:hyperlink w:anchor="_Toc151475929" w:history="1">
            <w:r w:rsidR="007F7823" w:rsidRPr="00732F23">
              <w:rPr>
                <w:rStyle w:val="Hyperlink"/>
                <w:noProof/>
                <w14:scene3d>
                  <w14:camera w14:prst="orthographicFront"/>
                  <w14:lightRig w14:rig="threePt" w14:dir="t">
                    <w14:rot w14:lat="0" w14:lon="0" w14:rev="0"/>
                  </w14:lightRig>
                </w14:scene3d>
              </w:rPr>
              <w:t>5.3.1.</w:t>
            </w:r>
            <w:r w:rsidR="007F7823">
              <w:rPr>
                <w:rFonts w:asciiTheme="minorHAnsi" w:eastAsiaTheme="minorEastAsia" w:hAnsiTheme="minorHAnsi" w:cstheme="minorBidi"/>
                <w:i w:val="0"/>
                <w:noProof/>
              </w:rPr>
              <w:tab/>
            </w:r>
            <w:r w:rsidR="007F7823" w:rsidRPr="00732F23">
              <w:rPr>
                <w:rStyle w:val="Hyperlink"/>
                <w:noProof/>
              </w:rPr>
              <w:t>Definition</w:t>
            </w:r>
            <w:r w:rsidR="007F7823">
              <w:rPr>
                <w:noProof/>
                <w:webHidden/>
              </w:rPr>
              <w:tab/>
            </w:r>
            <w:r w:rsidR="007F7823">
              <w:rPr>
                <w:noProof/>
                <w:webHidden/>
              </w:rPr>
              <w:fldChar w:fldCharType="begin"/>
            </w:r>
            <w:r w:rsidR="007F7823">
              <w:rPr>
                <w:noProof/>
                <w:webHidden/>
              </w:rPr>
              <w:instrText xml:space="preserve"> PAGEREF _Toc151475929 \h </w:instrText>
            </w:r>
            <w:r w:rsidR="007F7823">
              <w:rPr>
                <w:noProof/>
                <w:webHidden/>
              </w:rPr>
            </w:r>
            <w:r w:rsidR="007F7823">
              <w:rPr>
                <w:noProof/>
                <w:webHidden/>
              </w:rPr>
              <w:fldChar w:fldCharType="separate"/>
            </w:r>
            <w:r w:rsidR="007F7823">
              <w:rPr>
                <w:noProof/>
                <w:webHidden/>
              </w:rPr>
              <w:t>8</w:t>
            </w:r>
            <w:r w:rsidR="007F7823">
              <w:rPr>
                <w:noProof/>
                <w:webHidden/>
              </w:rPr>
              <w:fldChar w:fldCharType="end"/>
            </w:r>
          </w:hyperlink>
        </w:p>
        <w:p w14:paraId="23EAA367" w14:textId="5CDDF06C" w:rsidR="007F7823" w:rsidRDefault="00AC4866">
          <w:pPr>
            <w:pStyle w:val="Verzeichnis3"/>
            <w:rPr>
              <w:rFonts w:asciiTheme="minorHAnsi" w:eastAsiaTheme="minorEastAsia" w:hAnsiTheme="minorHAnsi" w:cstheme="minorBidi"/>
              <w:i w:val="0"/>
              <w:noProof/>
            </w:rPr>
          </w:pPr>
          <w:hyperlink w:anchor="_Toc151475930" w:history="1">
            <w:r w:rsidR="007F7823" w:rsidRPr="00732F23">
              <w:rPr>
                <w:rStyle w:val="Hyperlink"/>
                <w:noProof/>
                <w14:scene3d>
                  <w14:camera w14:prst="orthographicFront"/>
                  <w14:lightRig w14:rig="threePt" w14:dir="t">
                    <w14:rot w14:lat="0" w14:lon="0" w14:rev="0"/>
                  </w14:lightRig>
                </w14:scene3d>
              </w:rPr>
              <w:t>5.3.2.</w:t>
            </w:r>
            <w:r w:rsidR="007F7823">
              <w:rPr>
                <w:rFonts w:asciiTheme="minorHAnsi" w:eastAsiaTheme="minorEastAsia" w:hAnsiTheme="minorHAnsi" w:cstheme="minorBidi"/>
                <w:i w:val="0"/>
                <w:noProof/>
              </w:rPr>
              <w:tab/>
            </w:r>
            <w:r w:rsidR="007F7823" w:rsidRPr="00732F23">
              <w:rPr>
                <w:rStyle w:val="Hyperlink"/>
                <w:noProof/>
              </w:rPr>
              <w:t>Jahresnettomiete &gt; angemessene Jahresnettomiete</w:t>
            </w:r>
            <w:r w:rsidR="007F7823">
              <w:rPr>
                <w:noProof/>
                <w:webHidden/>
              </w:rPr>
              <w:tab/>
            </w:r>
            <w:r w:rsidR="007F7823">
              <w:rPr>
                <w:noProof/>
                <w:webHidden/>
              </w:rPr>
              <w:fldChar w:fldCharType="begin"/>
            </w:r>
            <w:r w:rsidR="007F7823">
              <w:rPr>
                <w:noProof/>
                <w:webHidden/>
              </w:rPr>
              <w:instrText xml:space="preserve"> PAGEREF _Toc151475930 \h </w:instrText>
            </w:r>
            <w:r w:rsidR="007F7823">
              <w:rPr>
                <w:noProof/>
                <w:webHidden/>
              </w:rPr>
            </w:r>
            <w:r w:rsidR="007F7823">
              <w:rPr>
                <w:noProof/>
                <w:webHidden/>
              </w:rPr>
              <w:fldChar w:fldCharType="separate"/>
            </w:r>
            <w:r w:rsidR="007F7823">
              <w:rPr>
                <w:noProof/>
                <w:webHidden/>
              </w:rPr>
              <w:t>8</w:t>
            </w:r>
            <w:r w:rsidR="007F7823">
              <w:rPr>
                <w:noProof/>
                <w:webHidden/>
              </w:rPr>
              <w:fldChar w:fldCharType="end"/>
            </w:r>
          </w:hyperlink>
        </w:p>
        <w:p w14:paraId="7B8B5DF0" w14:textId="4D75690C" w:rsidR="007F7823" w:rsidRDefault="00AC4866">
          <w:pPr>
            <w:pStyle w:val="Verzeichnis3"/>
            <w:rPr>
              <w:rFonts w:asciiTheme="minorHAnsi" w:eastAsiaTheme="minorEastAsia" w:hAnsiTheme="minorHAnsi" w:cstheme="minorBidi"/>
              <w:i w:val="0"/>
              <w:noProof/>
            </w:rPr>
          </w:pPr>
          <w:hyperlink w:anchor="_Toc151475931" w:history="1">
            <w:r w:rsidR="007F7823" w:rsidRPr="00732F23">
              <w:rPr>
                <w:rStyle w:val="Hyperlink"/>
                <w:noProof/>
                <w14:scene3d>
                  <w14:camera w14:prst="orthographicFront"/>
                  <w14:lightRig w14:rig="threePt" w14:dir="t">
                    <w14:rot w14:lat="0" w14:lon="0" w14:rev="0"/>
                  </w14:lightRig>
                </w14:scene3d>
              </w:rPr>
              <w:t>5.3.3.</w:t>
            </w:r>
            <w:r w:rsidR="007F7823">
              <w:rPr>
                <w:rFonts w:asciiTheme="minorHAnsi" w:eastAsiaTheme="minorEastAsia" w:hAnsiTheme="minorHAnsi" w:cstheme="minorBidi"/>
                <w:i w:val="0"/>
                <w:noProof/>
              </w:rPr>
              <w:tab/>
            </w:r>
            <w:r w:rsidR="007F7823" w:rsidRPr="00732F23">
              <w:rPr>
                <w:rStyle w:val="Hyperlink"/>
                <w:noProof/>
              </w:rPr>
              <w:t>Untermietverhältnis</w:t>
            </w:r>
            <w:r w:rsidR="007F7823">
              <w:rPr>
                <w:noProof/>
                <w:webHidden/>
              </w:rPr>
              <w:tab/>
            </w:r>
            <w:r w:rsidR="007F7823">
              <w:rPr>
                <w:noProof/>
                <w:webHidden/>
              </w:rPr>
              <w:fldChar w:fldCharType="begin"/>
            </w:r>
            <w:r w:rsidR="007F7823">
              <w:rPr>
                <w:noProof/>
                <w:webHidden/>
              </w:rPr>
              <w:instrText xml:space="preserve"> PAGEREF _Toc151475931 \h </w:instrText>
            </w:r>
            <w:r w:rsidR="007F7823">
              <w:rPr>
                <w:noProof/>
                <w:webHidden/>
              </w:rPr>
            </w:r>
            <w:r w:rsidR="007F7823">
              <w:rPr>
                <w:noProof/>
                <w:webHidden/>
              </w:rPr>
              <w:fldChar w:fldCharType="separate"/>
            </w:r>
            <w:r w:rsidR="007F7823">
              <w:rPr>
                <w:noProof/>
                <w:webHidden/>
              </w:rPr>
              <w:t>9</w:t>
            </w:r>
            <w:r w:rsidR="007F7823">
              <w:rPr>
                <w:noProof/>
                <w:webHidden/>
              </w:rPr>
              <w:fldChar w:fldCharType="end"/>
            </w:r>
          </w:hyperlink>
        </w:p>
        <w:p w14:paraId="2C9FB0E2" w14:textId="44AF061A" w:rsidR="007F7823" w:rsidRDefault="00AC4866">
          <w:pPr>
            <w:pStyle w:val="Verzeichnis1"/>
            <w:rPr>
              <w:rFonts w:asciiTheme="minorHAnsi" w:eastAsiaTheme="minorEastAsia" w:hAnsiTheme="minorHAnsi" w:cstheme="minorBidi"/>
              <w:noProof/>
              <w:szCs w:val="22"/>
              <w:lang w:eastAsia="de-CH"/>
            </w:rPr>
          </w:pPr>
          <w:hyperlink w:anchor="_Toc151475932" w:history="1">
            <w:r w:rsidR="007F7823" w:rsidRPr="00732F23">
              <w:rPr>
                <w:rStyle w:val="Hyperlink"/>
                <w:bCs/>
                <w:noProof/>
              </w:rPr>
              <w:t>6.</w:t>
            </w:r>
            <w:r w:rsidR="007F7823">
              <w:rPr>
                <w:rFonts w:asciiTheme="minorHAnsi" w:eastAsiaTheme="minorEastAsia" w:hAnsiTheme="minorHAnsi" w:cstheme="minorBidi"/>
                <w:noProof/>
                <w:szCs w:val="22"/>
                <w:lang w:eastAsia="de-CH"/>
              </w:rPr>
              <w:tab/>
            </w:r>
            <w:r w:rsidR="007F7823" w:rsidRPr="00732F23">
              <w:rPr>
                <w:rStyle w:val="Hyperlink"/>
                <w:noProof/>
              </w:rPr>
              <w:t>Berechnungsgrundlagen</w:t>
            </w:r>
            <w:r w:rsidR="007F7823">
              <w:rPr>
                <w:noProof/>
                <w:webHidden/>
              </w:rPr>
              <w:tab/>
            </w:r>
            <w:r w:rsidR="007F7823">
              <w:rPr>
                <w:noProof/>
                <w:webHidden/>
              </w:rPr>
              <w:fldChar w:fldCharType="begin"/>
            </w:r>
            <w:r w:rsidR="007F7823">
              <w:rPr>
                <w:noProof/>
                <w:webHidden/>
              </w:rPr>
              <w:instrText xml:space="preserve"> PAGEREF _Toc151475932 \h </w:instrText>
            </w:r>
            <w:r w:rsidR="007F7823">
              <w:rPr>
                <w:noProof/>
                <w:webHidden/>
              </w:rPr>
            </w:r>
            <w:r w:rsidR="007F7823">
              <w:rPr>
                <w:noProof/>
                <w:webHidden/>
              </w:rPr>
              <w:fldChar w:fldCharType="separate"/>
            </w:r>
            <w:r w:rsidR="007F7823">
              <w:rPr>
                <w:noProof/>
                <w:webHidden/>
              </w:rPr>
              <w:t>9</w:t>
            </w:r>
            <w:r w:rsidR="007F7823">
              <w:rPr>
                <w:noProof/>
                <w:webHidden/>
              </w:rPr>
              <w:fldChar w:fldCharType="end"/>
            </w:r>
          </w:hyperlink>
        </w:p>
        <w:p w14:paraId="055188C6" w14:textId="53FF0C90" w:rsidR="007F7823" w:rsidRDefault="00AC4866">
          <w:pPr>
            <w:pStyle w:val="Verzeichnis2"/>
            <w:rPr>
              <w:rFonts w:asciiTheme="minorHAnsi" w:eastAsiaTheme="minorEastAsia" w:hAnsiTheme="minorHAnsi" w:cstheme="minorBidi"/>
              <w:noProof/>
              <w:szCs w:val="22"/>
              <w:lang w:eastAsia="de-CH"/>
            </w:rPr>
          </w:pPr>
          <w:hyperlink w:anchor="_Toc151475933" w:history="1">
            <w:r w:rsidR="007F7823" w:rsidRPr="00732F23">
              <w:rPr>
                <w:rStyle w:val="Hyperlink"/>
                <w:noProof/>
              </w:rPr>
              <w:t>6.1.</w:t>
            </w:r>
            <w:r w:rsidR="007F7823">
              <w:rPr>
                <w:rFonts w:asciiTheme="minorHAnsi" w:eastAsiaTheme="minorEastAsia" w:hAnsiTheme="minorHAnsi" w:cstheme="minorBidi"/>
                <w:noProof/>
                <w:szCs w:val="22"/>
                <w:lang w:eastAsia="de-CH"/>
              </w:rPr>
              <w:tab/>
            </w:r>
            <w:r w:rsidR="007F7823" w:rsidRPr="00732F23">
              <w:rPr>
                <w:rStyle w:val="Hyperlink"/>
                <w:bCs/>
                <w:noProof/>
              </w:rPr>
              <w:t>Massgebliches</w:t>
            </w:r>
            <w:r w:rsidR="007F7823" w:rsidRPr="00732F23">
              <w:rPr>
                <w:rStyle w:val="Hyperlink"/>
                <w:noProof/>
              </w:rPr>
              <w:t xml:space="preserve"> Einkommen (§ 8 Abs. 1 MBG i.V.m. § 4 Vo MBG)</w:t>
            </w:r>
            <w:r w:rsidR="007F7823">
              <w:rPr>
                <w:noProof/>
                <w:webHidden/>
              </w:rPr>
              <w:tab/>
            </w:r>
            <w:r w:rsidR="007F7823">
              <w:rPr>
                <w:noProof/>
                <w:webHidden/>
              </w:rPr>
              <w:fldChar w:fldCharType="begin"/>
            </w:r>
            <w:r w:rsidR="007F7823">
              <w:rPr>
                <w:noProof/>
                <w:webHidden/>
              </w:rPr>
              <w:instrText xml:space="preserve"> PAGEREF _Toc151475933 \h </w:instrText>
            </w:r>
            <w:r w:rsidR="007F7823">
              <w:rPr>
                <w:noProof/>
                <w:webHidden/>
              </w:rPr>
            </w:r>
            <w:r w:rsidR="007F7823">
              <w:rPr>
                <w:noProof/>
                <w:webHidden/>
              </w:rPr>
              <w:fldChar w:fldCharType="separate"/>
            </w:r>
            <w:r w:rsidR="007F7823">
              <w:rPr>
                <w:noProof/>
                <w:webHidden/>
              </w:rPr>
              <w:t>9</w:t>
            </w:r>
            <w:r w:rsidR="007F7823">
              <w:rPr>
                <w:noProof/>
                <w:webHidden/>
              </w:rPr>
              <w:fldChar w:fldCharType="end"/>
            </w:r>
          </w:hyperlink>
        </w:p>
        <w:p w14:paraId="23F8D006" w14:textId="07AD4254" w:rsidR="007F7823" w:rsidRDefault="00AC4866">
          <w:pPr>
            <w:pStyle w:val="Verzeichnis3"/>
            <w:rPr>
              <w:rFonts w:asciiTheme="minorHAnsi" w:eastAsiaTheme="minorEastAsia" w:hAnsiTheme="minorHAnsi" w:cstheme="minorBidi"/>
              <w:i w:val="0"/>
              <w:noProof/>
            </w:rPr>
          </w:pPr>
          <w:hyperlink w:anchor="_Toc151475934" w:history="1">
            <w:r w:rsidR="007F7823" w:rsidRPr="00732F23">
              <w:rPr>
                <w:rStyle w:val="Hyperlink"/>
                <w:noProof/>
                <w14:scene3d>
                  <w14:camera w14:prst="orthographicFront"/>
                  <w14:lightRig w14:rig="threePt" w14:dir="t">
                    <w14:rot w14:lat="0" w14:lon="0" w14:rev="0"/>
                  </w14:lightRig>
                </w14:scene3d>
              </w:rPr>
              <w:t>6.1.1.</w:t>
            </w:r>
            <w:r w:rsidR="007F7823">
              <w:rPr>
                <w:rFonts w:asciiTheme="minorHAnsi" w:eastAsiaTheme="minorEastAsia" w:hAnsiTheme="minorHAnsi" w:cstheme="minorBidi"/>
                <w:i w:val="0"/>
                <w:noProof/>
              </w:rPr>
              <w:tab/>
            </w:r>
            <w:r w:rsidR="007F7823" w:rsidRPr="00732F23">
              <w:rPr>
                <w:rStyle w:val="Hyperlink"/>
                <w:noProof/>
              </w:rPr>
              <w:t>Nettoeinkünfte</w:t>
            </w:r>
            <w:r w:rsidR="007F7823">
              <w:rPr>
                <w:noProof/>
                <w:webHidden/>
              </w:rPr>
              <w:tab/>
            </w:r>
            <w:r w:rsidR="007F7823">
              <w:rPr>
                <w:noProof/>
                <w:webHidden/>
              </w:rPr>
              <w:fldChar w:fldCharType="begin"/>
            </w:r>
            <w:r w:rsidR="007F7823">
              <w:rPr>
                <w:noProof/>
                <w:webHidden/>
              </w:rPr>
              <w:instrText xml:space="preserve"> PAGEREF _Toc151475934 \h </w:instrText>
            </w:r>
            <w:r w:rsidR="007F7823">
              <w:rPr>
                <w:noProof/>
                <w:webHidden/>
              </w:rPr>
            </w:r>
            <w:r w:rsidR="007F7823">
              <w:rPr>
                <w:noProof/>
                <w:webHidden/>
              </w:rPr>
              <w:fldChar w:fldCharType="separate"/>
            </w:r>
            <w:r w:rsidR="007F7823">
              <w:rPr>
                <w:noProof/>
                <w:webHidden/>
              </w:rPr>
              <w:t>9</w:t>
            </w:r>
            <w:r w:rsidR="007F7823">
              <w:rPr>
                <w:noProof/>
                <w:webHidden/>
              </w:rPr>
              <w:fldChar w:fldCharType="end"/>
            </w:r>
          </w:hyperlink>
        </w:p>
        <w:p w14:paraId="1B514395" w14:textId="354038CD" w:rsidR="007F7823" w:rsidRDefault="00AC4866">
          <w:pPr>
            <w:pStyle w:val="Verzeichnis3"/>
            <w:rPr>
              <w:rFonts w:asciiTheme="minorHAnsi" w:eastAsiaTheme="minorEastAsia" w:hAnsiTheme="minorHAnsi" w:cstheme="minorBidi"/>
              <w:i w:val="0"/>
              <w:noProof/>
            </w:rPr>
          </w:pPr>
          <w:hyperlink w:anchor="_Toc151475935" w:history="1">
            <w:r w:rsidR="007F7823" w:rsidRPr="00732F23">
              <w:rPr>
                <w:rStyle w:val="Hyperlink"/>
                <w:noProof/>
                <w14:scene3d>
                  <w14:camera w14:prst="orthographicFront"/>
                  <w14:lightRig w14:rig="threePt" w14:dir="t">
                    <w14:rot w14:lat="0" w14:lon="0" w14:rev="0"/>
                  </w14:lightRig>
                </w14:scene3d>
              </w:rPr>
              <w:t>6.1.2.</w:t>
            </w:r>
            <w:r w:rsidR="007F7823">
              <w:rPr>
                <w:rFonts w:asciiTheme="minorHAnsi" w:eastAsiaTheme="minorEastAsia" w:hAnsiTheme="minorHAnsi" w:cstheme="minorBidi"/>
                <w:i w:val="0"/>
                <w:noProof/>
              </w:rPr>
              <w:tab/>
            </w:r>
            <w:r w:rsidR="007F7823" w:rsidRPr="00732F23">
              <w:rPr>
                <w:rStyle w:val="Hyperlink"/>
                <w:noProof/>
              </w:rPr>
              <w:t>Hilflosenentschädigung</w:t>
            </w:r>
            <w:r w:rsidR="007F7823">
              <w:rPr>
                <w:noProof/>
                <w:webHidden/>
              </w:rPr>
              <w:tab/>
            </w:r>
            <w:r w:rsidR="007F7823">
              <w:rPr>
                <w:noProof/>
                <w:webHidden/>
              </w:rPr>
              <w:fldChar w:fldCharType="begin"/>
            </w:r>
            <w:r w:rsidR="007F7823">
              <w:rPr>
                <w:noProof/>
                <w:webHidden/>
              </w:rPr>
              <w:instrText xml:space="preserve"> PAGEREF _Toc151475935 \h </w:instrText>
            </w:r>
            <w:r w:rsidR="007F7823">
              <w:rPr>
                <w:noProof/>
                <w:webHidden/>
              </w:rPr>
            </w:r>
            <w:r w:rsidR="007F7823">
              <w:rPr>
                <w:noProof/>
                <w:webHidden/>
              </w:rPr>
              <w:fldChar w:fldCharType="separate"/>
            </w:r>
            <w:r w:rsidR="007F7823">
              <w:rPr>
                <w:noProof/>
                <w:webHidden/>
              </w:rPr>
              <w:t>9</w:t>
            </w:r>
            <w:r w:rsidR="007F7823">
              <w:rPr>
                <w:noProof/>
                <w:webHidden/>
              </w:rPr>
              <w:fldChar w:fldCharType="end"/>
            </w:r>
          </w:hyperlink>
        </w:p>
        <w:p w14:paraId="179A76F6" w14:textId="1F2D1B95" w:rsidR="007F7823" w:rsidRDefault="00AC4866">
          <w:pPr>
            <w:pStyle w:val="Verzeichnis3"/>
            <w:rPr>
              <w:rFonts w:asciiTheme="minorHAnsi" w:eastAsiaTheme="minorEastAsia" w:hAnsiTheme="minorHAnsi" w:cstheme="minorBidi"/>
              <w:i w:val="0"/>
              <w:noProof/>
            </w:rPr>
          </w:pPr>
          <w:hyperlink w:anchor="_Toc151475936" w:history="1">
            <w:r w:rsidR="007F7823" w:rsidRPr="00732F23">
              <w:rPr>
                <w:rStyle w:val="Hyperlink"/>
                <w:noProof/>
                <w14:scene3d>
                  <w14:camera w14:prst="orthographicFront"/>
                  <w14:lightRig w14:rig="threePt" w14:dir="t">
                    <w14:rot w14:lat="0" w14:lon="0" w14:rev="0"/>
                  </w14:lightRig>
                </w14:scene3d>
              </w:rPr>
              <w:t>6.1.3.</w:t>
            </w:r>
            <w:r w:rsidR="007F7823">
              <w:rPr>
                <w:rFonts w:asciiTheme="minorHAnsi" w:eastAsiaTheme="minorEastAsia" w:hAnsiTheme="minorHAnsi" w:cstheme="minorBidi"/>
                <w:i w:val="0"/>
                <w:noProof/>
              </w:rPr>
              <w:tab/>
            </w:r>
            <w:r w:rsidR="007F7823" w:rsidRPr="00732F23">
              <w:rPr>
                <w:rStyle w:val="Hyperlink"/>
                <w:noProof/>
              </w:rPr>
              <w:t>Einkünfte von Kindern</w:t>
            </w:r>
            <w:r w:rsidR="007F7823">
              <w:rPr>
                <w:noProof/>
                <w:webHidden/>
              </w:rPr>
              <w:tab/>
            </w:r>
            <w:r w:rsidR="007F7823">
              <w:rPr>
                <w:noProof/>
                <w:webHidden/>
              </w:rPr>
              <w:fldChar w:fldCharType="begin"/>
            </w:r>
            <w:r w:rsidR="007F7823">
              <w:rPr>
                <w:noProof/>
                <w:webHidden/>
              </w:rPr>
              <w:instrText xml:space="preserve"> PAGEREF _Toc151475936 \h </w:instrText>
            </w:r>
            <w:r w:rsidR="007F7823">
              <w:rPr>
                <w:noProof/>
                <w:webHidden/>
              </w:rPr>
            </w:r>
            <w:r w:rsidR="007F7823">
              <w:rPr>
                <w:noProof/>
                <w:webHidden/>
              </w:rPr>
              <w:fldChar w:fldCharType="separate"/>
            </w:r>
            <w:r w:rsidR="007F7823">
              <w:rPr>
                <w:noProof/>
                <w:webHidden/>
              </w:rPr>
              <w:t>10</w:t>
            </w:r>
            <w:r w:rsidR="007F7823">
              <w:rPr>
                <w:noProof/>
                <w:webHidden/>
              </w:rPr>
              <w:fldChar w:fldCharType="end"/>
            </w:r>
          </w:hyperlink>
        </w:p>
        <w:p w14:paraId="1BD267F4" w14:textId="1C0641B5" w:rsidR="007F7823" w:rsidRDefault="00AC4866">
          <w:pPr>
            <w:pStyle w:val="Verzeichnis3"/>
            <w:rPr>
              <w:rFonts w:asciiTheme="minorHAnsi" w:eastAsiaTheme="minorEastAsia" w:hAnsiTheme="minorHAnsi" w:cstheme="minorBidi"/>
              <w:i w:val="0"/>
              <w:noProof/>
            </w:rPr>
          </w:pPr>
          <w:hyperlink w:anchor="_Toc151475937" w:history="1">
            <w:r w:rsidR="007F7823" w:rsidRPr="00732F23">
              <w:rPr>
                <w:rStyle w:val="Hyperlink"/>
                <w:noProof/>
                <w14:scene3d>
                  <w14:camera w14:prst="orthographicFront"/>
                  <w14:lightRig w14:rig="threePt" w14:dir="t">
                    <w14:rot w14:lat="0" w14:lon="0" w14:rev="0"/>
                  </w14:lightRig>
                </w14:scene3d>
              </w:rPr>
              <w:t>6.1.4.</w:t>
            </w:r>
            <w:r w:rsidR="007F7823">
              <w:rPr>
                <w:rFonts w:asciiTheme="minorHAnsi" w:eastAsiaTheme="minorEastAsia" w:hAnsiTheme="minorHAnsi" w:cstheme="minorBidi"/>
                <w:i w:val="0"/>
                <w:noProof/>
              </w:rPr>
              <w:tab/>
            </w:r>
            <w:r w:rsidR="007F7823" w:rsidRPr="00732F23">
              <w:rPr>
                <w:rStyle w:val="Hyperlink"/>
                <w:noProof/>
              </w:rPr>
              <w:t>Hypothetisches Einkommen (§ 8 Abs. 2 MBG)</w:t>
            </w:r>
            <w:r w:rsidR="007F7823">
              <w:rPr>
                <w:noProof/>
                <w:webHidden/>
              </w:rPr>
              <w:tab/>
            </w:r>
            <w:r w:rsidR="007F7823">
              <w:rPr>
                <w:noProof/>
                <w:webHidden/>
              </w:rPr>
              <w:fldChar w:fldCharType="begin"/>
            </w:r>
            <w:r w:rsidR="007F7823">
              <w:rPr>
                <w:noProof/>
                <w:webHidden/>
              </w:rPr>
              <w:instrText xml:space="preserve"> PAGEREF _Toc151475937 \h </w:instrText>
            </w:r>
            <w:r w:rsidR="007F7823">
              <w:rPr>
                <w:noProof/>
                <w:webHidden/>
              </w:rPr>
            </w:r>
            <w:r w:rsidR="007F7823">
              <w:rPr>
                <w:noProof/>
                <w:webHidden/>
              </w:rPr>
              <w:fldChar w:fldCharType="separate"/>
            </w:r>
            <w:r w:rsidR="007F7823">
              <w:rPr>
                <w:noProof/>
                <w:webHidden/>
              </w:rPr>
              <w:t>10</w:t>
            </w:r>
            <w:r w:rsidR="007F7823">
              <w:rPr>
                <w:noProof/>
                <w:webHidden/>
              </w:rPr>
              <w:fldChar w:fldCharType="end"/>
            </w:r>
          </w:hyperlink>
        </w:p>
        <w:p w14:paraId="71EAB209" w14:textId="4DE62B3A" w:rsidR="007F7823" w:rsidRDefault="00AC4866">
          <w:pPr>
            <w:pStyle w:val="Verzeichnis3"/>
            <w:rPr>
              <w:rFonts w:asciiTheme="minorHAnsi" w:eastAsiaTheme="minorEastAsia" w:hAnsiTheme="minorHAnsi" w:cstheme="minorBidi"/>
              <w:i w:val="0"/>
              <w:noProof/>
            </w:rPr>
          </w:pPr>
          <w:hyperlink w:anchor="_Toc151475938" w:history="1">
            <w:r w:rsidR="007F7823" w:rsidRPr="00732F23">
              <w:rPr>
                <w:rStyle w:val="Hyperlink"/>
                <w:noProof/>
                <w14:scene3d>
                  <w14:camera w14:prst="orthographicFront"/>
                  <w14:lightRig w14:rig="threePt" w14:dir="t">
                    <w14:rot w14:lat="0" w14:lon="0" w14:rev="0"/>
                  </w14:lightRig>
                </w14:scene3d>
              </w:rPr>
              <w:t>6.1.5.</w:t>
            </w:r>
            <w:r w:rsidR="007F7823">
              <w:rPr>
                <w:rFonts w:asciiTheme="minorHAnsi" w:eastAsiaTheme="minorEastAsia" w:hAnsiTheme="minorHAnsi" w:cstheme="minorBidi"/>
                <w:i w:val="0"/>
                <w:noProof/>
              </w:rPr>
              <w:tab/>
            </w:r>
            <w:r w:rsidR="007F7823" w:rsidRPr="00732F23">
              <w:rPr>
                <w:rStyle w:val="Hyperlink"/>
                <w:noProof/>
              </w:rPr>
              <w:t>Anrechnung des Jahresnettoeinkommens</w:t>
            </w:r>
            <w:r w:rsidR="007F7823">
              <w:rPr>
                <w:noProof/>
                <w:webHidden/>
              </w:rPr>
              <w:tab/>
            </w:r>
            <w:r w:rsidR="007F7823">
              <w:rPr>
                <w:noProof/>
                <w:webHidden/>
              </w:rPr>
              <w:fldChar w:fldCharType="begin"/>
            </w:r>
            <w:r w:rsidR="007F7823">
              <w:rPr>
                <w:noProof/>
                <w:webHidden/>
              </w:rPr>
              <w:instrText xml:space="preserve"> PAGEREF _Toc151475938 \h </w:instrText>
            </w:r>
            <w:r w:rsidR="007F7823">
              <w:rPr>
                <w:noProof/>
                <w:webHidden/>
              </w:rPr>
            </w:r>
            <w:r w:rsidR="007F7823">
              <w:rPr>
                <w:noProof/>
                <w:webHidden/>
              </w:rPr>
              <w:fldChar w:fldCharType="separate"/>
            </w:r>
            <w:r w:rsidR="007F7823">
              <w:rPr>
                <w:noProof/>
                <w:webHidden/>
              </w:rPr>
              <w:t>11</w:t>
            </w:r>
            <w:r w:rsidR="007F7823">
              <w:rPr>
                <w:noProof/>
                <w:webHidden/>
              </w:rPr>
              <w:fldChar w:fldCharType="end"/>
            </w:r>
          </w:hyperlink>
        </w:p>
        <w:p w14:paraId="53BCFE87" w14:textId="23515A1A" w:rsidR="007F7823" w:rsidRDefault="00AC4866">
          <w:pPr>
            <w:pStyle w:val="Verzeichnis2"/>
            <w:rPr>
              <w:rFonts w:asciiTheme="minorHAnsi" w:eastAsiaTheme="minorEastAsia" w:hAnsiTheme="minorHAnsi" w:cstheme="minorBidi"/>
              <w:noProof/>
              <w:szCs w:val="22"/>
              <w:lang w:eastAsia="de-CH"/>
            </w:rPr>
          </w:pPr>
          <w:hyperlink w:anchor="_Toc151475939" w:history="1">
            <w:r w:rsidR="007F7823" w:rsidRPr="00732F23">
              <w:rPr>
                <w:rStyle w:val="Hyperlink"/>
                <w:noProof/>
              </w:rPr>
              <w:t>6.2.</w:t>
            </w:r>
            <w:r w:rsidR="007F7823">
              <w:rPr>
                <w:rFonts w:asciiTheme="minorHAnsi" w:eastAsiaTheme="minorEastAsia" w:hAnsiTheme="minorHAnsi" w:cstheme="minorBidi"/>
                <w:noProof/>
                <w:szCs w:val="22"/>
                <w:lang w:eastAsia="de-CH"/>
              </w:rPr>
              <w:tab/>
            </w:r>
            <w:r w:rsidR="007F7823" w:rsidRPr="00732F23">
              <w:rPr>
                <w:rStyle w:val="Hyperlink"/>
                <w:bCs/>
                <w:noProof/>
              </w:rPr>
              <w:t>Anerkannte</w:t>
            </w:r>
            <w:r w:rsidR="007F7823" w:rsidRPr="00732F23">
              <w:rPr>
                <w:rStyle w:val="Hyperlink"/>
                <w:noProof/>
              </w:rPr>
              <w:t xml:space="preserve"> Ausgaben (§ 9 MBG i.V.m. § 5 Vo MBG)</w:t>
            </w:r>
            <w:r w:rsidR="007F7823">
              <w:rPr>
                <w:noProof/>
                <w:webHidden/>
              </w:rPr>
              <w:tab/>
            </w:r>
            <w:r w:rsidR="007F7823">
              <w:rPr>
                <w:noProof/>
                <w:webHidden/>
              </w:rPr>
              <w:fldChar w:fldCharType="begin"/>
            </w:r>
            <w:r w:rsidR="007F7823">
              <w:rPr>
                <w:noProof/>
                <w:webHidden/>
              </w:rPr>
              <w:instrText xml:space="preserve"> PAGEREF _Toc151475939 \h </w:instrText>
            </w:r>
            <w:r w:rsidR="007F7823">
              <w:rPr>
                <w:noProof/>
                <w:webHidden/>
              </w:rPr>
            </w:r>
            <w:r w:rsidR="007F7823">
              <w:rPr>
                <w:noProof/>
                <w:webHidden/>
              </w:rPr>
              <w:fldChar w:fldCharType="separate"/>
            </w:r>
            <w:r w:rsidR="007F7823">
              <w:rPr>
                <w:noProof/>
                <w:webHidden/>
              </w:rPr>
              <w:t>11</w:t>
            </w:r>
            <w:r w:rsidR="007F7823">
              <w:rPr>
                <w:noProof/>
                <w:webHidden/>
              </w:rPr>
              <w:fldChar w:fldCharType="end"/>
            </w:r>
          </w:hyperlink>
        </w:p>
        <w:p w14:paraId="147D533E" w14:textId="046F5456" w:rsidR="007F7823" w:rsidRDefault="00AC4866">
          <w:pPr>
            <w:pStyle w:val="Verzeichnis1"/>
            <w:rPr>
              <w:rFonts w:asciiTheme="minorHAnsi" w:eastAsiaTheme="minorEastAsia" w:hAnsiTheme="minorHAnsi" w:cstheme="minorBidi"/>
              <w:noProof/>
              <w:szCs w:val="22"/>
              <w:lang w:eastAsia="de-CH"/>
            </w:rPr>
          </w:pPr>
          <w:hyperlink w:anchor="_Toc151475940" w:history="1">
            <w:r w:rsidR="007F7823" w:rsidRPr="00732F23">
              <w:rPr>
                <w:rStyle w:val="Hyperlink"/>
                <w:noProof/>
              </w:rPr>
              <w:t>7.</w:t>
            </w:r>
            <w:r w:rsidR="007F7823">
              <w:rPr>
                <w:rFonts w:asciiTheme="minorHAnsi" w:eastAsiaTheme="minorEastAsia" w:hAnsiTheme="minorHAnsi" w:cstheme="minorBidi"/>
                <w:noProof/>
                <w:szCs w:val="22"/>
                <w:lang w:eastAsia="de-CH"/>
              </w:rPr>
              <w:tab/>
            </w:r>
            <w:r w:rsidR="007F7823" w:rsidRPr="00732F23">
              <w:rPr>
                <w:rStyle w:val="Hyperlink"/>
                <w:noProof/>
              </w:rPr>
              <w:t>Vollzugsbestimmungen</w:t>
            </w:r>
            <w:r w:rsidR="007F7823">
              <w:rPr>
                <w:noProof/>
                <w:webHidden/>
              </w:rPr>
              <w:tab/>
            </w:r>
            <w:r w:rsidR="007F7823">
              <w:rPr>
                <w:noProof/>
                <w:webHidden/>
              </w:rPr>
              <w:fldChar w:fldCharType="begin"/>
            </w:r>
            <w:r w:rsidR="007F7823">
              <w:rPr>
                <w:noProof/>
                <w:webHidden/>
              </w:rPr>
              <w:instrText xml:space="preserve"> PAGEREF _Toc151475940 \h </w:instrText>
            </w:r>
            <w:r w:rsidR="007F7823">
              <w:rPr>
                <w:noProof/>
                <w:webHidden/>
              </w:rPr>
            </w:r>
            <w:r w:rsidR="007F7823">
              <w:rPr>
                <w:noProof/>
                <w:webHidden/>
              </w:rPr>
              <w:fldChar w:fldCharType="separate"/>
            </w:r>
            <w:r w:rsidR="007F7823">
              <w:rPr>
                <w:noProof/>
                <w:webHidden/>
              </w:rPr>
              <w:t>11</w:t>
            </w:r>
            <w:r w:rsidR="007F7823">
              <w:rPr>
                <w:noProof/>
                <w:webHidden/>
              </w:rPr>
              <w:fldChar w:fldCharType="end"/>
            </w:r>
          </w:hyperlink>
        </w:p>
        <w:p w14:paraId="26EF2EF7" w14:textId="577A90DA" w:rsidR="007F7823" w:rsidRDefault="00AC4866">
          <w:pPr>
            <w:pStyle w:val="Verzeichnis2"/>
            <w:rPr>
              <w:rFonts w:asciiTheme="minorHAnsi" w:eastAsiaTheme="minorEastAsia" w:hAnsiTheme="minorHAnsi" w:cstheme="minorBidi"/>
              <w:noProof/>
              <w:szCs w:val="22"/>
              <w:lang w:eastAsia="de-CH"/>
            </w:rPr>
          </w:pPr>
          <w:hyperlink w:anchor="_Toc151475941" w:history="1">
            <w:r w:rsidR="007F7823" w:rsidRPr="00732F23">
              <w:rPr>
                <w:rStyle w:val="Hyperlink"/>
                <w:noProof/>
              </w:rPr>
              <w:t>7.1.</w:t>
            </w:r>
            <w:r w:rsidR="007F7823">
              <w:rPr>
                <w:rFonts w:asciiTheme="minorHAnsi" w:eastAsiaTheme="minorEastAsia" w:hAnsiTheme="minorHAnsi" w:cstheme="minorBidi"/>
                <w:noProof/>
                <w:szCs w:val="22"/>
                <w:lang w:eastAsia="de-CH"/>
              </w:rPr>
              <w:tab/>
            </w:r>
            <w:r w:rsidR="007F7823" w:rsidRPr="00732F23">
              <w:rPr>
                <w:rStyle w:val="Hyperlink"/>
                <w:noProof/>
              </w:rPr>
              <w:t>Zuständigkeit (§ 10 MBG)</w:t>
            </w:r>
            <w:r w:rsidR="007F7823">
              <w:rPr>
                <w:noProof/>
                <w:webHidden/>
              </w:rPr>
              <w:tab/>
            </w:r>
            <w:r w:rsidR="007F7823">
              <w:rPr>
                <w:noProof/>
                <w:webHidden/>
              </w:rPr>
              <w:fldChar w:fldCharType="begin"/>
            </w:r>
            <w:r w:rsidR="007F7823">
              <w:rPr>
                <w:noProof/>
                <w:webHidden/>
              </w:rPr>
              <w:instrText xml:space="preserve"> PAGEREF _Toc151475941 \h </w:instrText>
            </w:r>
            <w:r w:rsidR="007F7823">
              <w:rPr>
                <w:noProof/>
                <w:webHidden/>
              </w:rPr>
            </w:r>
            <w:r w:rsidR="007F7823">
              <w:rPr>
                <w:noProof/>
                <w:webHidden/>
              </w:rPr>
              <w:fldChar w:fldCharType="separate"/>
            </w:r>
            <w:r w:rsidR="007F7823">
              <w:rPr>
                <w:noProof/>
                <w:webHidden/>
              </w:rPr>
              <w:t>11</w:t>
            </w:r>
            <w:r w:rsidR="007F7823">
              <w:rPr>
                <w:noProof/>
                <w:webHidden/>
              </w:rPr>
              <w:fldChar w:fldCharType="end"/>
            </w:r>
          </w:hyperlink>
        </w:p>
        <w:p w14:paraId="40E99179" w14:textId="2F14EF3A" w:rsidR="007F7823" w:rsidRDefault="00AC4866">
          <w:pPr>
            <w:pStyle w:val="Verzeichnis3"/>
            <w:rPr>
              <w:rFonts w:asciiTheme="minorHAnsi" w:eastAsiaTheme="minorEastAsia" w:hAnsiTheme="minorHAnsi" w:cstheme="minorBidi"/>
              <w:i w:val="0"/>
              <w:noProof/>
            </w:rPr>
          </w:pPr>
          <w:hyperlink w:anchor="_Toc151475942" w:history="1">
            <w:r w:rsidR="007F7823" w:rsidRPr="00732F23">
              <w:rPr>
                <w:rStyle w:val="Hyperlink"/>
                <w:noProof/>
                <w14:scene3d>
                  <w14:camera w14:prst="orthographicFront"/>
                  <w14:lightRig w14:rig="threePt" w14:dir="t">
                    <w14:rot w14:lat="0" w14:lon="0" w14:rev="0"/>
                  </w14:lightRig>
                </w14:scene3d>
              </w:rPr>
              <w:t>7.1.1.</w:t>
            </w:r>
            <w:r w:rsidR="007F7823">
              <w:rPr>
                <w:rFonts w:asciiTheme="minorHAnsi" w:eastAsiaTheme="minorEastAsia" w:hAnsiTheme="minorHAnsi" w:cstheme="minorBidi"/>
                <w:i w:val="0"/>
                <w:noProof/>
              </w:rPr>
              <w:tab/>
            </w:r>
            <w:r w:rsidR="007F7823" w:rsidRPr="00732F23">
              <w:rPr>
                <w:rStyle w:val="Hyperlink"/>
                <w:noProof/>
              </w:rPr>
              <w:t>Zuständige Stelle</w:t>
            </w:r>
            <w:r w:rsidR="007F7823">
              <w:rPr>
                <w:noProof/>
                <w:webHidden/>
              </w:rPr>
              <w:tab/>
            </w:r>
            <w:r w:rsidR="007F7823">
              <w:rPr>
                <w:noProof/>
                <w:webHidden/>
              </w:rPr>
              <w:fldChar w:fldCharType="begin"/>
            </w:r>
            <w:r w:rsidR="007F7823">
              <w:rPr>
                <w:noProof/>
                <w:webHidden/>
              </w:rPr>
              <w:instrText xml:space="preserve"> PAGEREF _Toc151475942 \h </w:instrText>
            </w:r>
            <w:r w:rsidR="007F7823">
              <w:rPr>
                <w:noProof/>
                <w:webHidden/>
              </w:rPr>
            </w:r>
            <w:r w:rsidR="007F7823">
              <w:rPr>
                <w:noProof/>
                <w:webHidden/>
              </w:rPr>
              <w:fldChar w:fldCharType="separate"/>
            </w:r>
            <w:r w:rsidR="007F7823">
              <w:rPr>
                <w:noProof/>
                <w:webHidden/>
              </w:rPr>
              <w:t>11</w:t>
            </w:r>
            <w:r w:rsidR="007F7823">
              <w:rPr>
                <w:noProof/>
                <w:webHidden/>
              </w:rPr>
              <w:fldChar w:fldCharType="end"/>
            </w:r>
          </w:hyperlink>
        </w:p>
        <w:p w14:paraId="5B7E9D55" w14:textId="02516AAA" w:rsidR="007F7823" w:rsidRDefault="00AC4866">
          <w:pPr>
            <w:pStyle w:val="Verzeichnis2"/>
            <w:rPr>
              <w:rFonts w:asciiTheme="minorHAnsi" w:eastAsiaTheme="minorEastAsia" w:hAnsiTheme="minorHAnsi" w:cstheme="minorBidi"/>
              <w:noProof/>
              <w:szCs w:val="22"/>
              <w:lang w:eastAsia="de-CH"/>
            </w:rPr>
          </w:pPr>
          <w:hyperlink w:anchor="_Toc151475943" w:history="1">
            <w:r w:rsidR="007F7823" w:rsidRPr="00732F23">
              <w:rPr>
                <w:rStyle w:val="Hyperlink"/>
                <w:noProof/>
              </w:rPr>
              <w:t>7.2.</w:t>
            </w:r>
            <w:r w:rsidR="007F7823">
              <w:rPr>
                <w:rFonts w:asciiTheme="minorHAnsi" w:eastAsiaTheme="minorEastAsia" w:hAnsiTheme="minorHAnsi" w:cstheme="minorBidi"/>
                <w:noProof/>
                <w:szCs w:val="22"/>
                <w:lang w:eastAsia="de-CH"/>
              </w:rPr>
              <w:tab/>
            </w:r>
            <w:r w:rsidR="007F7823" w:rsidRPr="00732F23">
              <w:rPr>
                <w:rStyle w:val="Hyperlink"/>
                <w:bCs/>
                <w:noProof/>
              </w:rPr>
              <w:t>Verfahren</w:t>
            </w:r>
            <w:r w:rsidR="007F7823" w:rsidRPr="00732F23">
              <w:rPr>
                <w:rStyle w:val="Hyperlink"/>
                <w:noProof/>
              </w:rPr>
              <w:t xml:space="preserve"> (§ 11 MBG)</w:t>
            </w:r>
            <w:r w:rsidR="007F7823">
              <w:rPr>
                <w:noProof/>
                <w:webHidden/>
              </w:rPr>
              <w:tab/>
            </w:r>
            <w:r w:rsidR="007F7823">
              <w:rPr>
                <w:noProof/>
                <w:webHidden/>
              </w:rPr>
              <w:fldChar w:fldCharType="begin"/>
            </w:r>
            <w:r w:rsidR="007F7823">
              <w:rPr>
                <w:noProof/>
                <w:webHidden/>
              </w:rPr>
              <w:instrText xml:space="preserve"> PAGEREF _Toc151475943 \h </w:instrText>
            </w:r>
            <w:r w:rsidR="007F7823">
              <w:rPr>
                <w:noProof/>
                <w:webHidden/>
              </w:rPr>
            </w:r>
            <w:r w:rsidR="007F7823">
              <w:rPr>
                <w:noProof/>
                <w:webHidden/>
              </w:rPr>
              <w:fldChar w:fldCharType="separate"/>
            </w:r>
            <w:r w:rsidR="007F7823">
              <w:rPr>
                <w:noProof/>
                <w:webHidden/>
              </w:rPr>
              <w:t>12</w:t>
            </w:r>
            <w:r w:rsidR="007F7823">
              <w:rPr>
                <w:noProof/>
                <w:webHidden/>
              </w:rPr>
              <w:fldChar w:fldCharType="end"/>
            </w:r>
          </w:hyperlink>
        </w:p>
        <w:p w14:paraId="23669F92" w14:textId="530636C7" w:rsidR="007F7823" w:rsidRDefault="00AC4866">
          <w:pPr>
            <w:pStyle w:val="Verzeichnis2"/>
            <w:rPr>
              <w:rFonts w:asciiTheme="minorHAnsi" w:eastAsiaTheme="minorEastAsia" w:hAnsiTheme="minorHAnsi" w:cstheme="minorBidi"/>
              <w:noProof/>
              <w:szCs w:val="22"/>
              <w:lang w:eastAsia="de-CH"/>
            </w:rPr>
          </w:pPr>
          <w:hyperlink w:anchor="_Toc151475944" w:history="1">
            <w:r w:rsidR="007F7823" w:rsidRPr="00732F23">
              <w:rPr>
                <w:rStyle w:val="Hyperlink"/>
                <w:noProof/>
              </w:rPr>
              <w:t>7.3.</w:t>
            </w:r>
            <w:r w:rsidR="007F7823">
              <w:rPr>
                <w:rFonts w:asciiTheme="minorHAnsi" w:eastAsiaTheme="minorEastAsia" w:hAnsiTheme="minorHAnsi" w:cstheme="minorBidi"/>
                <w:noProof/>
                <w:szCs w:val="22"/>
                <w:lang w:eastAsia="de-CH"/>
              </w:rPr>
              <w:tab/>
            </w:r>
            <w:r w:rsidR="007F7823" w:rsidRPr="00732F23">
              <w:rPr>
                <w:rStyle w:val="Hyperlink"/>
                <w:noProof/>
              </w:rPr>
              <w:t>Auszahlung</w:t>
            </w:r>
            <w:r w:rsidR="007F7823">
              <w:rPr>
                <w:noProof/>
                <w:webHidden/>
              </w:rPr>
              <w:tab/>
            </w:r>
            <w:r w:rsidR="007F7823">
              <w:rPr>
                <w:noProof/>
                <w:webHidden/>
              </w:rPr>
              <w:fldChar w:fldCharType="begin"/>
            </w:r>
            <w:r w:rsidR="007F7823">
              <w:rPr>
                <w:noProof/>
                <w:webHidden/>
              </w:rPr>
              <w:instrText xml:space="preserve"> PAGEREF _Toc151475944 \h </w:instrText>
            </w:r>
            <w:r w:rsidR="007F7823">
              <w:rPr>
                <w:noProof/>
                <w:webHidden/>
              </w:rPr>
            </w:r>
            <w:r w:rsidR="007F7823">
              <w:rPr>
                <w:noProof/>
                <w:webHidden/>
              </w:rPr>
              <w:fldChar w:fldCharType="separate"/>
            </w:r>
            <w:r w:rsidR="007F7823">
              <w:rPr>
                <w:noProof/>
                <w:webHidden/>
              </w:rPr>
              <w:t>12</w:t>
            </w:r>
            <w:r w:rsidR="007F7823">
              <w:rPr>
                <w:noProof/>
                <w:webHidden/>
              </w:rPr>
              <w:fldChar w:fldCharType="end"/>
            </w:r>
          </w:hyperlink>
        </w:p>
        <w:p w14:paraId="330467C6" w14:textId="34110511" w:rsidR="007F7823" w:rsidRDefault="00AC4866">
          <w:pPr>
            <w:pStyle w:val="Verzeichnis2"/>
            <w:rPr>
              <w:rFonts w:asciiTheme="minorHAnsi" w:eastAsiaTheme="minorEastAsia" w:hAnsiTheme="minorHAnsi" w:cstheme="minorBidi"/>
              <w:noProof/>
              <w:szCs w:val="22"/>
              <w:lang w:eastAsia="de-CH"/>
            </w:rPr>
          </w:pPr>
          <w:hyperlink w:anchor="_Toc151475945" w:history="1">
            <w:r w:rsidR="007F7823" w:rsidRPr="00732F23">
              <w:rPr>
                <w:rStyle w:val="Hyperlink"/>
                <w:noProof/>
              </w:rPr>
              <w:t>7.4.</w:t>
            </w:r>
            <w:r w:rsidR="007F7823">
              <w:rPr>
                <w:rFonts w:asciiTheme="minorHAnsi" w:eastAsiaTheme="minorEastAsia" w:hAnsiTheme="minorHAnsi" w:cstheme="minorBidi"/>
                <w:noProof/>
                <w:szCs w:val="22"/>
                <w:lang w:eastAsia="de-CH"/>
              </w:rPr>
              <w:tab/>
            </w:r>
            <w:r w:rsidR="007F7823" w:rsidRPr="00732F23">
              <w:rPr>
                <w:rStyle w:val="Hyperlink"/>
                <w:bCs/>
                <w:noProof/>
              </w:rPr>
              <w:t>Mitwirkung</w:t>
            </w:r>
            <w:r w:rsidR="007F7823" w:rsidRPr="00732F23">
              <w:rPr>
                <w:rStyle w:val="Hyperlink"/>
                <w:noProof/>
              </w:rPr>
              <w:t xml:space="preserve"> (§ 12 MBG)</w:t>
            </w:r>
            <w:r w:rsidR="007F7823">
              <w:rPr>
                <w:noProof/>
                <w:webHidden/>
              </w:rPr>
              <w:tab/>
            </w:r>
            <w:r w:rsidR="007F7823">
              <w:rPr>
                <w:noProof/>
                <w:webHidden/>
              </w:rPr>
              <w:fldChar w:fldCharType="begin"/>
            </w:r>
            <w:r w:rsidR="007F7823">
              <w:rPr>
                <w:noProof/>
                <w:webHidden/>
              </w:rPr>
              <w:instrText xml:space="preserve"> PAGEREF _Toc151475945 \h </w:instrText>
            </w:r>
            <w:r w:rsidR="007F7823">
              <w:rPr>
                <w:noProof/>
                <w:webHidden/>
              </w:rPr>
            </w:r>
            <w:r w:rsidR="007F7823">
              <w:rPr>
                <w:noProof/>
                <w:webHidden/>
              </w:rPr>
              <w:fldChar w:fldCharType="separate"/>
            </w:r>
            <w:r w:rsidR="007F7823">
              <w:rPr>
                <w:noProof/>
                <w:webHidden/>
              </w:rPr>
              <w:t>13</w:t>
            </w:r>
            <w:r w:rsidR="007F7823">
              <w:rPr>
                <w:noProof/>
                <w:webHidden/>
              </w:rPr>
              <w:fldChar w:fldCharType="end"/>
            </w:r>
          </w:hyperlink>
        </w:p>
        <w:p w14:paraId="4B0DF890" w14:textId="16FEEDA4" w:rsidR="007F7823" w:rsidRDefault="00AC4866">
          <w:pPr>
            <w:pStyle w:val="Verzeichnis3"/>
            <w:rPr>
              <w:rFonts w:asciiTheme="minorHAnsi" w:eastAsiaTheme="minorEastAsia" w:hAnsiTheme="minorHAnsi" w:cstheme="minorBidi"/>
              <w:i w:val="0"/>
              <w:noProof/>
            </w:rPr>
          </w:pPr>
          <w:hyperlink w:anchor="_Toc151475946" w:history="1">
            <w:r w:rsidR="007F7823" w:rsidRPr="00732F23">
              <w:rPr>
                <w:rStyle w:val="Hyperlink"/>
                <w:noProof/>
                <w14:scene3d>
                  <w14:camera w14:prst="orthographicFront"/>
                  <w14:lightRig w14:rig="threePt" w14:dir="t">
                    <w14:rot w14:lat="0" w14:lon="0" w14:rev="0"/>
                  </w14:lightRig>
                </w14:scene3d>
              </w:rPr>
              <w:t>7.4.1.</w:t>
            </w:r>
            <w:r w:rsidR="007F7823">
              <w:rPr>
                <w:rFonts w:asciiTheme="minorHAnsi" w:eastAsiaTheme="minorEastAsia" w:hAnsiTheme="minorHAnsi" w:cstheme="minorBidi"/>
                <w:i w:val="0"/>
                <w:noProof/>
              </w:rPr>
              <w:tab/>
            </w:r>
            <w:r w:rsidR="007F7823" w:rsidRPr="00732F23">
              <w:rPr>
                <w:rStyle w:val="Hyperlink"/>
                <w:noProof/>
              </w:rPr>
              <w:t>Mitwirkungspflicht</w:t>
            </w:r>
            <w:r w:rsidR="007F7823">
              <w:rPr>
                <w:noProof/>
                <w:webHidden/>
              </w:rPr>
              <w:tab/>
            </w:r>
            <w:r w:rsidR="007F7823">
              <w:rPr>
                <w:noProof/>
                <w:webHidden/>
              </w:rPr>
              <w:fldChar w:fldCharType="begin"/>
            </w:r>
            <w:r w:rsidR="007F7823">
              <w:rPr>
                <w:noProof/>
                <w:webHidden/>
              </w:rPr>
              <w:instrText xml:space="preserve"> PAGEREF _Toc151475946 \h </w:instrText>
            </w:r>
            <w:r w:rsidR="007F7823">
              <w:rPr>
                <w:noProof/>
                <w:webHidden/>
              </w:rPr>
            </w:r>
            <w:r w:rsidR="007F7823">
              <w:rPr>
                <w:noProof/>
                <w:webHidden/>
              </w:rPr>
              <w:fldChar w:fldCharType="separate"/>
            </w:r>
            <w:r w:rsidR="007F7823">
              <w:rPr>
                <w:noProof/>
                <w:webHidden/>
              </w:rPr>
              <w:t>13</w:t>
            </w:r>
            <w:r w:rsidR="007F7823">
              <w:rPr>
                <w:noProof/>
                <w:webHidden/>
              </w:rPr>
              <w:fldChar w:fldCharType="end"/>
            </w:r>
          </w:hyperlink>
        </w:p>
        <w:p w14:paraId="720579C9" w14:textId="4E807949" w:rsidR="007F7823" w:rsidRDefault="00AC4866">
          <w:pPr>
            <w:pStyle w:val="Verzeichnis3"/>
            <w:rPr>
              <w:rFonts w:asciiTheme="minorHAnsi" w:eastAsiaTheme="minorEastAsia" w:hAnsiTheme="minorHAnsi" w:cstheme="minorBidi"/>
              <w:i w:val="0"/>
              <w:noProof/>
            </w:rPr>
          </w:pPr>
          <w:hyperlink w:anchor="_Toc151475947" w:history="1">
            <w:r w:rsidR="007F7823" w:rsidRPr="00732F23">
              <w:rPr>
                <w:rStyle w:val="Hyperlink"/>
                <w:noProof/>
                <w14:scene3d>
                  <w14:camera w14:prst="orthographicFront"/>
                  <w14:lightRig w14:rig="threePt" w14:dir="t">
                    <w14:rot w14:lat="0" w14:lon="0" w14:rev="0"/>
                  </w14:lightRig>
                </w14:scene3d>
              </w:rPr>
              <w:t>7.4.2.</w:t>
            </w:r>
            <w:r w:rsidR="007F7823">
              <w:rPr>
                <w:rFonts w:asciiTheme="minorHAnsi" w:eastAsiaTheme="minorEastAsia" w:hAnsiTheme="minorHAnsi" w:cstheme="minorBidi"/>
                <w:i w:val="0"/>
                <w:noProof/>
              </w:rPr>
              <w:tab/>
            </w:r>
            <w:r w:rsidR="007F7823" w:rsidRPr="00732F23">
              <w:rPr>
                <w:rStyle w:val="Hyperlink"/>
                <w:noProof/>
              </w:rPr>
              <w:t>Information bezüglich beitragsrelevanten Veränderungen</w:t>
            </w:r>
            <w:r w:rsidR="007F7823">
              <w:rPr>
                <w:noProof/>
                <w:webHidden/>
              </w:rPr>
              <w:tab/>
            </w:r>
            <w:r w:rsidR="007F7823">
              <w:rPr>
                <w:noProof/>
                <w:webHidden/>
              </w:rPr>
              <w:fldChar w:fldCharType="begin"/>
            </w:r>
            <w:r w:rsidR="007F7823">
              <w:rPr>
                <w:noProof/>
                <w:webHidden/>
              </w:rPr>
              <w:instrText xml:space="preserve"> PAGEREF _Toc151475947 \h </w:instrText>
            </w:r>
            <w:r w:rsidR="007F7823">
              <w:rPr>
                <w:noProof/>
                <w:webHidden/>
              </w:rPr>
            </w:r>
            <w:r w:rsidR="007F7823">
              <w:rPr>
                <w:noProof/>
                <w:webHidden/>
              </w:rPr>
              <w:fldChar w:fldCharType="separate"/>
            </w:r>
            <w:r w:rsidR="007F7823">
              <w:rPr>
                <w:noProof/>
                <w:webHidden/>
              </w:rPr>
              <w:t>13</w:t>
            </w:r>
            <w:r w:rsidR="007F7823">
              <w:rPr>
                <w:noProof/>
                <w:webHidden/>
              </w:rPr>
              <w:fldChar w:fldCharType="end"/>
            </w:r>
          </w:hyperlink>
        </w:p>
        <w:p w14:paraId="571E0D2D" w14:textId="2765EA0A" w:rsidR="007F7823" w:rsidRDefault="00AC4866">
          <w:pPr>
            <w:pStyle w:val="Verzeichnis2"/>
            <w:rPr>
              <w:rFonts w:asciiTheme="minorHAnsi" w:eastAsiaTheme="minorEastAsia" w:hAnsiTheme="minorHAnsi" w:cstheme="minorBidi"/>
              <w:noProof/>
              <w:szCs w:val="22"/>
              <w:lang w:eastAsia="de-CH"/>
            </w:rPr>
          </w:pPr>
          <w:hyperlink w:anchor="_Toc151475948" w:history="1">
            <w:r w:rsidR="007F7823" w:rsidRPr="00732F23">
              <w:rPr>
                <w:rStyle w:val="Hyperlink"/>
                <w:noProof/>
              </w:rPr>
              <w:t>7.5.</w:t>
            </w:r>
            <w:r w:rsidR="007F7823">
              <w:rPr>
                <w:rFonts w:asciiTheme="minorHAnsi" w:eastAsiaTheme="minorEastAsia" w:hAnsiTheme="minorHAnsi" w:cstheme="minorBidi"/>
                <w:noProof/>
                <w:szCs w:val="22"/>
                <w:lang w:eastAsia="de-CH"/>
              </w:rPr>
              <w:tab/>
            </w:r>
            <w:r w:rsidR="007F7823" w:rsidRPr="00732F23">
              <w:rPr>
                <w:rStyle w:val="Hyperlink"/>
                <w:noProof/>
              </w:rPr>
              <w:t>Auszahlung</w:t>
            </w:r>
            <w:r w:rsidR="007F7823">
              <w:rPr>
                <w:noProof/>
                <w:webHidden/>
              </w:rPr>
              <w:tab/>
            </w:r>
            <w:r w:rsidR="007F7823">
              <w:rPr>
                <w:noProof/>
                <w:webHidden/>
              </w:rPr>
              <w:fldChar w:fldCharType="begin"/>
            </w:r>
            <w:r w:rsidR="007F7823">
              <w:rPr>
                <w:noProof/>
                <w:webHidden/>
              </w:rPr>
              <w:instrText xml:space="preserve"> PAGEREF _Toc151475948 \h </w:instrText>
            </w:r>
            <w:r w:rsidR="007F7823">
              <w:rPr>
                <w:noProof/>
                <w:webHidden/>
              </w:rPr>
            </w:r>
            <w:r w:rsidR="007F7823">
              <w:rPr>
                <w:noProof/>
                <w:webHidden/>
              </w:rPr>
              <w:fldChar w:fldCharType="separate"/>
            </w:r>
            <w:r w:rsidR="007F7823">
              <w:rPr>
                <w:noProof/>
                <w:webHidden/>
              </w:rPr>
              <w:t>13</w:t>
            </w:r>
            <w:r w:rsidR="007F7823">
              <w:rPr>
                <w:noProof/>
                <w:webHidden/>
              </w:rPr>
              <w:fldChar w:fldCharType="end"/>
            </w:r>
          </w:hyperlink>
        </w:p>
        <w:p w14:paraId="36EC6C9C" w14:textId="35BB448D" w:rsidR="007F7823" w:rsidRDefault="00AC4866">
          <w:pPr>
            <w:pStyle w:val="Verzeichnis2"/>
            <w:rPr>
              <w:rFonts w:asciiTheme="minorHAnsi" w:eastAsiaTheme="minorEastAsia" w:hAnsiTheme="minorHAnsi" w:cstheme="minorBidi"/>
              <w:noProof/>
              <w:szCs w:val="22"/>
              <w:lang w:eastAsia="de-CH"/>
            </w:rPr>
          </w:pPr>
          <w:hyperlink w:anchor="_Toc151475949" w:history="1">
            <w:r w:rsidR="007F7823" w:rsidRPr="00732F23">
              <w:rPr>
                <w:rStyle w:val="Hyperlink"/>
                <w:noProof/>
              </w:rPr>
              <w:t>7.6.</w:t>
            </w:r>
            <w:r w:rsidR="007F7823">
              <w:rPr>
                <w:rFonts w:asciiTheme="minorHAnsi" w:eastAsiaTheme="minorEastAsia" w:hAnsiTheme="minorHAnsi" w:cstheme="minorBidi"/>
                <w:noProof/>
                <w:szCs w:val="22"/>
                <w:lang w:eastAsia="de-CH"/>
              </w:rPr>
              <w:tab/>
            </w:r>
            <w:r w:rsidR="007F7823" w:rsidRPr="00732F23">
              <w:rPr>
                <w:rStyle w:val="Hyperlink"/>
                <w:noProof/>
              </w:rPr>
              <w:t>Rückerstattung (§ 13 MBG)</w:t>
            </w:r>
            <w:r w:rsidR="007F7823">
              <w:rPr>
                <w:noProof/>
                <w:webHidden/>
              </w:rPr>
              <w:tab/>
            </w:r>
            <w:r w:rsidR="007F7823">
              <w:rPr>
                <w:noProof/>
                <w:webHidden/>
              </w:rPr>
              <w:fldChar w:fldCharType="begin"/>
            </w:r>
            <w:r w:rsidR="007F7823">
              <w:rPr>
                <w:noProof/>
                <w:webHidden/>
              </w:rPr>
              <w:instrText xml:space="preserve"> PAGEREF _Toc151475949 \h </w:instrText>
            </w:r>
            <w:r w:rsidR="007F7823">
              <w:rPr>
                <w:noProof/>
                <w:webHidden/>
              </w:rPr>
            </w:r>
            <w:r w:rsidR="007F7823">
              <w:rPr>
                <w:noProof/>
                <w:webHidden/>
              </w:rPr>
              <w:fldChar w:fldCharType="separate"/>
            </w:r>
            <w:r w:rsidR="007F7823">
              <w:rPr>
                <w:noProof/>
                <w:webHidden/>
              </w:rPr>
              <w:t>13</w:t>
            </w:r>
            <w:r w:rsidR="007F7823">
              <w:rPr>
                <w:noProof/>
                <w:webHidden/>
              </w:rPr>
              <w:fldChar w:fldCharType="end"/>
            </w:r>
          </w:hyperlink>
        </w:p>
        <w:p w14:paraId="270F80C7" w14:textId="56F0BE5E" w:rsidR="007F7823" w:rsidRDefault="00AC4866">
          <w:pPr>
            <w:pStyle w:val="Verzeichnis2"/>
            <w:rPr>
              <w:rFonts w:asciiTheme="minorHAnsi" w:eastAsiaTheme="minorEastAsia" w:hAnsiTheme="minorHAnsi" w:cstheme="minorBidi"/>
              <w:noProof/>
              <w:szCs w:val="22"/>
              <w:lang w:eastAsia="de-CH"/>
            </w:rPr>
          </w:pPr>
          <w:hyperlink w:anchor="_Toc151475950" w:history="1">
            <w:r w:rsidR="007F7823" w:rsidRPr="00732F23">
              <w:rPr>
                <w:rStyle w:val="Hyperlink"/>
                <w:noProof/>
              </w:rPr>
              <w:t>7.7.</w:t>
            </w:r>
            <w:r w:rsidR="007F7823">
              <w:rPr>
                <w:rFonts w:asciiTheme="minorHAnsi" w:eastAsiaTheme="minorEastAsia" w:hAnsiTheme="minorHAnsi" w:cstheme="minorBidi"/>
                <w:noProof/>
                <w:szCs w:val="22"/>
                <w:lang w:eastAsia="de-CH"/>
              </w:rPr>
              <w:tab/>
            </w:r>
            <w:r w:rsidR="007F7823" w:rsidRPr="00732F23">
              <w:rPr>
                <w:rStyle w:val="Hyperlink"/>
                <w:noProof/>
              </w:rPr>
              <w:t>Rechtsmittel (§ 11 MBG)</w:t>
            </w:r>
            <w:r w:rsidR="007F7823">
              <w:rPr>
                <w:noProof/>
                <w:webHidden/>
              </w:rPr>
              <w:tab/>
            </w:r>
            <w:r w:rsidR="007F7823">
              <w:rPr>
                <w:noProof/>
                <w:webHidden/>
              </w:rPr>
              <w:fldChar w:fldCharType="begin"/>
            </w:r>
            <w:r w:rsidR="007F7823">
              <w:rPr>
                <w:noProof/>
                <w:webHidden/>
              </w:rPr>
              <w:instrText xml:space="preserve"> PAGEREF _Toc151475950 \h </w:instrText>
            </w:r>
            <w:r w:rsidR="007F7823">
              <w:rPr>
                <w:noProof/>
                <w:webHidden/>
              </w:rPr>
            </w:r>
            <w:r w:rsidR="007F7823">
              <w:rPr>
                <w:noProof/>
                <w:webHidden/>
              </w:rPr>
              <w:fldChar w:fldCharType="separate"/>
            </w:r>
            <w:r w:rsidR="007F7823">
              <w:rPr>
                <w:noProof/>
                <w:webHidden/>
              </w:rPr>
              <w:t>13</w:t>
            </w:r>
            <w:r w:rsidR="007F7823">
              <w:rPr>
                <w:noProof/>
                <w:webHidden/>
              </w:rPr>
              <w:fldChar w:fldCharType="end"/>
            </w:r>
          </w:hyperlink>
        </w:p>
        <w:p w14:paraId="18CC1F8C" w14:textId="5B3542B3" w:rsidR="007F7823" w:rsidRDefault="00AC4866">
          <w:pPr>
            <w:pStyle w:val="Verzeichnis1"/>
            <w:rPr>
              <w:rFonts w:asciiTheme="minorHAnsi" w:eastAsiaTheme="minorEastAsia" w:hAnsiTheme="minorHAnsi" w:cstheme="minorBidi"/>
              <w:noProof/>
              <w:szCs w:val="22"/>
              <w:lang w:eastAsia="de-CH"/>
            </w:rPr>
          </w:pPr>
          <w:hyperlink w:anchor="_Toc151475951" w:history="1">
            <w:r w:rsidR="007F7823" w:rsidRPr="00732F23">
              <w:rPr>
                <w:rStyle w:val="Hyperlink"/>
                <w:noProof/>
              </w:rPr>
              <w:t>8.</w:t>
            </w:r>
            <w:r w:rsidR="007F7823">
              <w:rPr>
                <w:rFonts w:asciiTheme="minorHAnsi" w:eastAsiaTheme="minorEastAsia" w:hAnsiTheme="minorHAnsi" w:cstheme="minorBidi"/>
                <w:noProof/>
                <w:szCs w:val="22"/>
                <w:lang w:eastAsia="de-CH"/>
              </w:rPr>
              <w:tab/>
            </w:r>
            <w:r w:rsidR="007F7823" w:rsidRPr="00732F23">
              <w:rPr>
                <w:rStyle w:val="Hyperlink"/>
                <w:noProof/>
              </w:rPr>
              <w:t>Finanzierung (§ 14 i.V.m. Vo MBG § 6)</w:t>
            </w:r>
            <w:r w:rsidR="007F7823">
              <w:rPr>
                <w:noProof/>
                <w:webHidden/>
              </w:rPr>
              <w:tab/>
            </w:r>
            <w:r w:rsidR="007F7823">
              <w:rPr>
                <w:noProof/>
                <w:webHidden/>
              </w:rPr>
              <w:fldChar w:fldCharType="begin"/>
            </w:r>
            <w:r w:rsidR="007F7823">
              <w:rPr>
                <w:noProof/>
                <w:webHidden/>
              </w:rPr>
              <w:instrText xml:space="preserve"> PAGEREF _Toc151475951 \h </w:instrText>
            </w:r>
            <w:r w:rsidR="007F7823">
              <w:rPr>
                <w:noProof/>
                <w:webHidden/>
              </w:rPr>
            </w:r>
            <w:r w:rsidR="007F7823">
              <w:rPr>
                <w:noProof/>
                <w:webHidden/>
              </w:rPr>
              <w:fldChar w:fldCharType="separate"/>
            </w:r>
            <w:r w:rsidR="007F7823">
              <w:rPr>
                <w:noProof/>
                <w:webHidden/>
              </w:rPr>
              <w:t>13</w:t>
            </w:r>
            <w:r w:rsidR="007F7823">
              <w:rPr>
                <w:noProof/>
                <w:webHidden/>
              </w:rPr>
              <w:fldChar w:fldCharType="end"/>
            </w:r>
          </w:hyperlink>
        </w:p>
        <w:p w14:paraId="69E2FBBF" w14:textId="7BEC9378" w:rsidR="007F7823" w:rsidRDefault="00AC4866">
          <w:pPr>
            <w:pStyle w:val="Verzeichnis2"/>
            <w:rPr>
              <w:rFonts w:asciiTheme="minorHAnsi" w:eastAsiaTheme="minorEastAsia" w:hAnsiTheme="minorHAnsi" w:cstheme="minorBidi"/>
              <w:noProof/>
              <w:szCs w:val="22"/>
              <w:lang w:eastAsia="de-CH"/>
            </w:rPr>
          </w:pPr>
          <w:hyperlink w:anchor="_Toc151475952" w:history="1">
            <w:r w:rsidR="007F7823" w:rsidRPr="00732F23">
              <w:rPr>
                <w:rStyle w:val="Hyperlink"/>
                <w:noProof/>
              </w:rPr>
              <w:t>8.1.</w:t>
            </w:r>
            <w:r w:rsidR="007F7823">
              <w:rPr>
                <w:rFonts w:asciiTheme="minorHAnsi" w:eastAsiaTheme="minorEastAsia" w:hAnsiTheme="minorHAnsi" w:cstheme="minorBidi"/>
                <w:noProof/>
                <w:szCs w:val="22"/>
                <w:lang w:eastAsia="de-CH"/>
              </w:rPr>
              <w:tab/>
            </w:r>
            <w:r w:rsidR="007F7823" w:rsidRPr="00732F23">
              <w:rPr>
                <w:rStyle w:val="Hyperlink"/>
                <w:noProof/>
              </w:rPr>
              <w:t>Kostenträger</w:t>
            </w:r>
            <w:r w:rsidR="007F7823">
              <w:rPr>
                <w:noProof/>
                <w:webHidden/>
              </w:rPr>
              <w:tab/>
            </w:r>
            <w:r w:rsidR="007F7823">
              <w:rPr>
                <w:noProof/>
                <w:webHidden/>
              </w:rPr>
              <w:fldChar w:fldCharType="begin"/>
            </w:r>
            <w:r w:rsidR="007F7823">
              <w:rPr>
                <w:noProof/>
                <w:webHidden/>
              </w:rPr>
              <w:instrText xml:space="preserve"> PAGEREF _Toc151475952 \h </w:instrText>
            </w:r>
            <w:r w:rsidR="007F7823">
              <w:rPr>
                <w:noProof/>
                <w:webHidden/>
              </w:rPr>
            </w:r>
            <w:r w:rsidR="007F7823">
              <w:rPr>
                <w:noProof/>
                <w:webHidden/>
              </w:rPr>
              <w:fldChar w:fldCharType="separate"/>
            </w:r>
            <w:r w:rsidR="007F7823">
              <w:rPr>
                <w:noProof/>
                <w:webHidden/>
              </w:rPr>
              <w:t>13</w:t>
            </w:r>
            <w:r w:rsidR="007F7823">
              <w:rPr>
                <w:noProof/>
                <w:webHidden/>
              </w:rPr>
              <w:fldChar w:fldCharType="end"/>
            </w:r>
          </w:hyperlink>
        </w:p>
        <w:p w14:paraId="43E0CFF0" w14:textId="5E6D16CB" w:rsidR="007F7823" w:rsidRDefault="00AC4866">
          <w:pPr>
            <w:pStyle w:val="Verzeichnis2"/>
            <w:rPr>
              <w:rFonts w:asciiTheme="minorHAnsi" w:eastAsiaTheme="minorEastAsia" w:hAnsiTheme="minorHAnsi" w:cstheme="minorBidi"/>
              <w:noProof/>
              <w:szCs w:val="22"/>
              <w:lang w:eastAsia="de-CH"/>
            </w:rPr>
          </w:pPr>
          <w:hyperlink w:anchor="_Toc151475953" w:history="1">
            <w:r w:rsidR="007F7823" w:rsidRPr="00732F23">
              <w:rPr>
                <w:rStyle w:val="Hyperlink"/>
                <w:noProof/>
              </w:rPr>
              <w:t>8.2.</w:t>
            </w:r>
            <w:r w:rsidR="007F7823">
              <w:rPr>
                <w:rFonts w:asciiTheme="minorHAnsi" w:eastAsiaTheme="minorEastAsia" w:hAnsiTheme="minorHAnsi" w:cstheme="minorBidi"/>
                <w:noProof/>
                <w:szCs w:val="22"/>
                <w:lang w:eastAsia="de-CH"/>
              </w:rPr>
              <w:tab/>
            </w:r>
            <w:r w:rsidR="007F7823" w:rsidRPr="00732F23">
              <w:rPr>
                <w:rStyle w:val="Hyperlink"/>
                <w:noProof/>
              </w:rPr>
              <w:t>Maximaler jährlicher Kantonsbeitrag</w:t>
            </w:r>
            <w:r w:rsidR="007F7823">
              <w:rPr>
                <w:noProof/>
                <w:webHidden/>
              </w:rPr>
              <w:tab/>
            </w:r>
            <w:r w:rsidR="007F7823">
              <w:rPr>
                <w:noProof/>
                <w:webHidden/>
              </w:rPr>
              <w:fldChar w:fldCharType="begin"/>
            </w:r>
            <w:r w:rsidR="007F7823">
              <w:rPr>
                <w:noProof/>
                <w:webHidden/>
              </w:rPr>
              <w:instrText xml:space="preserve"> PAGEREF _Toc151475953 \h </w:instrText>
            </w:r>
            <w:r w:rsidR="007F7823">
              <w:rPr>
                <w:noProof/>
                <w:webHidden/>
              </w:rPr>
            </w:r>
            <w:r w:rsidR="007F7823">
              <w:rPr>
                <w:noProof/>
                <w:webHidden/>
              </w:rPr>
              <w:fldChar w:fldCharType="separate"/>
            </w:r>
            <w:r w:rsidR="007F7823">
              <w:rPr>
                <w:noProof/>
                <w:webHidden/>
              </w:rPr>
              <w:t>13</w:t>
            </w:r>
            <w:r w:rsidR="007F7823">
              <w:rPr>
                <w:noProof/>
                <w:webHidden/>
              </w:rPr>
              <w:fldChar w:fldCharType="end"/>
            </w:r>
          </w:hyperlink>
        </w:p>
        <w:p w14:paraId="22960634" w14:textId="3A6289EF" w:rsidR="007F7823" w:rsidRDefault="00AC4866">
          <w:pPr>
            <w:pStyle w:val="Verzeichnis3"/>
            <w:rPr>
              <w:rFonts w:asciiTheme="minorHAnsi" w:eastAsiaTheme="minorEastAsia" w:hAnsiTheme="minorHAnsi" w:cstheme="minorBidi"/>
              <w:i w:val="0"/>
              <w:noProof/>
            </w:rPr>
          </w:pPr>
          <w:hyperlink w:anchor="_Toc151475954" w:history="1">
            <w:r w:rsidR="007F7823" w:rsidRPr="00732F23">
              <w:rPr>
                <w:rStyle w:val="Hyperlink"/>
                <w:noProof/>
                <w14:scene3d>
                  <w14:camera w14:prst="orthographicFront"/>
                  <w14:lightRig w14:rig="threePt" w14:dir="t">
                    <w14:rot w14:lat="0" w14:lon="0" w14:rev="0"/>
                  </w14:lightRig>
                </w14:scene3d>
              </w:rPr>
              <w:t>8.2.1.</w:t>
            </w:r>
            <w:r w:rsidR="007F7823">
              <w:rPr>
                <w:rFonts w:asciiTheme="minorHAnsi" w:eastAsiaTheme="minorEastAsia" w:hAnsiTheme="minorHAnsi" w:cstheme="minorBidi"/>
                <w:i w:val="0"/>
                <w:noProof/>
              </w:rPr>
              <w:tab/>
            </w:r>
            <w:r w:rsidR="007F7823" w:rsidRPr="00732F23">
              <w:rPr>
                <w:rStyle w:val="Hyperlink"/>
                <w:noProof/>
              </w:rPr>
              <w:t>Höhe des maximalen jährlichen Kantonsbeitrags</w:t>
            </w:r>
            <w:r w:rsidR="007F7823">
              <w:rPr>
                <w:noProof/>
                <w:webHidden/>
              </w:rPr>
              <w:tab/>
            </w:r>
            <w:r w:rsidR="007F7823">
              <w:rPr>
                <w:noProof/>
                <w:webHidden/>
              </w:rPr>
              <w:fldChar w:fldCharType="begin"/>
            </w:r>
            <w:r w:rsidR="007F7823">
              <w:rPr>
                <w:noProof/>
                <w:webHidden/>
              </w:rPr>
              <w:instrText xml:space="preserve"> PAGEREF _Toc151475954 \h </w:instrText>
            </w:r>
            <w:r w:rsidR="007F7823">
              <w:rPr>
                <w:noProof/>
                <w:webHidden/>
              </w:rPr>
            </w:r>
            <w:r w:rsidR="007F7823">
              <w:rPr>
                <w:noProof/>
                <w:webHidden/>
              </w:rPr>
              <w:fldChar w:fldCharType="separate"/>
            </w:r>
            <w:r w:rsidR="007F7823">
              <w:rPr>
                <w:noProof/>
                <w:webHidden/>
              </w:rPr>
              <w:t>13</w:t>
            </w:r>
            <w:r w:rsidR="007F7823">
              <w:rPr>
                <w:noProof/>
                <w:webHidden/>
              </w:rPr>
              <w:fldChar w:fldCharType="end"/>
            </w:r>
          </w:hyperlink>
        </w:p>
        <w:p w14:paraId="7078AE76" w14:textId="003C77D5" w:rsidR="007F7823" w:rsidRDefault="00AC4866">
          <w:pPr>
            <w:pStyle w:val="Verzeichnis3"/>
            <w:rPr>
              <w:rFonts w:asciiTheme="minorHAnsi" w:eastAsiaTheme="minorEastAsia" w:hAnsiTheme="minorHAnsi" w:cstheme="minorBidi"/>
              <w:i w:val="0"/>
              <w:noProof/>
            </w:rPr>
          </w:pPr>
          <w:hyperlink w:anchor="_Toc151475955" w:history="1">
            <w:r w:rsidR="007F7823" w:rsidRPr="00732F23">
              <w:rPr>
                <w:rStyle w:val="Hyperlink"/>
                <w:noProof/>
                <w14:scene3d>
                  <w14:camera w14:prst="orthographicFront"/>
                  <w14:lightRig w14:rig="threePt" w14:dir="t">
                    <w14:rot w14:lat="0" w14:lon="0" w14:rev="0"/>
                  </w14:lightRig>
                </w14:scene3d>
              </w:rPr>
              <w:t>8.2.2.</w:t>
            </w:r>
            <w:r w:rsidR="007F7823">
              <w:rPr>
                <w:rFonts w:asciiTheme="minorHAnsi" w:eastAsiaTheme="minorEastAsia" w:hAnsiTheme="minorHAnsi" w:cstheme="minorBidi"/>
                <w:i w:val="0"/>
                <w:noProof/>
              </w:rPr>
              <w:tab/>
            </w:r>
            <w:r w:rsidR="007F7823" w:rsidRPr="00732F23">
              <w:rPr>
                <w:rStyle w:val="Hyperlink"/>
                <w:noProof/>
              </w:rPr>
              <w:t>Revision des maximalen jährlichen Kantonsbeitrags</w:t>
            </w:r>
            <w:r w:rsidR="007F7823">
              <w:rPr>
                <w:noProof/>
                <w:webHidden/>
              </w:rPr>
              <w:tab/>
            </w:r>
            <w:r w:rsidR="007F7823">
              <w:rPr>
                <w:noProof/>
                <w:webHidden/>
              </w:rPr>
              <w:fldChar w:fldCharType="begin"/>
            </w:r>
            <w:r w:rsidR="007F7823">
              <w:rPr>
                <w:noProof/>
                <w:webHidden/>
              </w:rPr>
              <w:instrText xml:space="preserve"> PAGEREF _Toc151475955 \h </w:instrText>
            </w:r>
            <w:r w:rsidR="007F7823">
              <w:rPr>
                <w:noProof/>
                <w:webHidden/>
              </w:rPr>
            </w:r>
            <w:r w:rsidR="007F7823">
              <w:rPr>
                <w:noProof/>
                <w:webHidden/>
              </w:rPr>
              <w:fldChar w:fldCharType="separate"/>
            </w:r>
            <w:r w:rsidR="007F7823">
              <w:rPr>
                <w:noProof/>
                <w:webHidden/>
              </w:rPr>
              <w:t>14</w:t>
            </w:r>
            <w:r w:rsidR="007F7823">
              <w:rPr>
                <w:noProof/>
                <w:webHidden/>
              </w:rPr>
              <w:fldChar w:fldCharType="end"/>
            </w:r>
          </w:hyperlink>
        </w:p>
        <w:p w14:paraId="60C9E033" w14:textId="3F760D3D" w:rsidR="007F7823" w:rsidRDefault="00AC4866">
          <w:pPr>
            <w:pStyle w:val="Verzeichnis2"/>
            <w:rPr>
              <w:rFonts w:asciiTheme="minorHAnsi" w:eastAsiaTheme="minorEastAsia" w:hAnsiTheme="minorHAnsi" w:cstheme="minorBidi"/>
              <w:noProof/>
              <w:szCs w:val="22"/>
              <w:lang w:eastAsia="de-CH"/>
            </w:rPr>
          </w:pPr>
          <w:hyperlink w:anchor="_Toc151475956" w:history="1">
            <w:r w:rsidR="007F7823" w:rsidRPr="00732F23">
              <w:rPr>
                <w:rStyle w:val="Hyperlink"/>
                <w:noProof/>
              </w:rPr>
              <w:t>8.3.</w:t>
            </w:r>
            <w:r w:rsidR="007F7823">
              <w:rPr>
                <w:rFonts w:asciiTheme="minorHAnsi" w:eastAsiaTheme="minorEastAsia" w:hAnsiTheme="minorHAnsi" w:cstheme="minorBidi"/>
                <w:noProof/>
                <w:szCs w:val="22"/>
                <w:lang w:eastAsia="de-CH"/>
              </w:rPr>
              <w:tab/>
            </w:r>
            <w:r w:rsidR="007F7823" w:rsidRPr="00732F23">
              <w:rPr>
                <w:rStyle w:val="Hyperlink"/>
                <w:noProof/>
              </w:rPr>
              <w:t>Verteilung des Kantonsbeitrags unter den Gemeinden</w:t>
            </w:r>
            <w:r w:rsidR="007F7823">
              <w:rPr>
                <w:noProof/>
                <w:webHidden/>
              </w:rPr>
              <w:tab/>
            </w:r>
            <w:r w:rsidR="007F7823">
              <w:rPr>
                <w:noProof/>
                <w:webHidden/>
              </w:rPr>
              <w:fldChar w:fldCharType="begin"/>
            </w:r>
            <w:r w:rsidR="007F7823">
              <w:rPr>
                <w:noProof/>
                <w:webHidden/>
              </w:rPr>
              <w:instrText xml:space="preserve"> PAGEREF _Toc151475956 \h </w:instrText>
            </w:r>
            <w:r w:rsidR="007F7823">
              <w:rPr>
                <w:noProof/>
                <w:webHidden/>
              </w:rPr>
            </w:r>
            <w:r w:rsidR="007F7823">
              <w:rPr>
                <w:noProof/>
                <w:webHidden/>
              </w:rPr>
              <w:fldChar w:fldCharType="separate"/>
            </w:r>
            <w:r w:rsidR="007F7823">
              <w:rPr>
                <w:noProof/>
                <w:webHidden/>
              </w:rPr>
              <w:t>14</w:t>
            </w:r>
            <w:r w:rsidR="007F7823">
              <w:rPr>
                <w:noProof/>
                <w:webHidden/>
              </w:rPr>
              <w:fldChar w:fldCharType="end"/>
            </w:r>
          </w:hyperlink>
        </w:p>
        <w:p w14:paraId="3BAADDC4" w14:textId="44E754BA" w:rsidR="007F7823" w:rsidRDefault="00AC4866">
          <w:pPr>
            <w:pStyle w:val="Verzeichnis2"/>
            <w:rPr>
              <w:rFonts w:asciiTheme="minorHAnsi" w:eastAsiaTheme="minorEastAsia" w:hAnsiTheme="minorHAnsi" w:cstheme="minorBidi"/>
              <w:noProof/>
              <w:szCs w:val="22"/>
              <w:lang w:eastAsia="de-CH"/>
            </w:rPr>
          </w:pPr>
          <w:hyperlink w:anchor="_Toc151475957" w:history="1">
            <w:r w:rsidR="007F7823" w:rsidRPr="00732F23">
              <w:rPr>
                <w:rStyle w:val="Hyperlink"/>
                <w:noProof/>
              </w:rPr>
              <w:t>8.4.</w:t>
            </w:r>
            <w:r w:rsidR="007F7823">
              <w:rPr>
                <w:rFonts w:asciiTheme="minorHAnsi" w:eastAsiaTheme="minorEastAsia" w:hAnsiTheme="minorHAnsi" w:cstheme="minorBidi"/>
                <w:noProof/>
                <w:szCs w:val="22"/>
                <w:lang w:eastAsia="de-CH"/>
              </w:rPr>
              <w:tab/>
            </w:r>
            <w:r w:rsidR="007F7823" w:rsidRPr="00732F23">
              <w:rPr>
                <w:rStyle w:val="Hyperlink"/>
                <w:noProof/>
              </w:rPr>
              <w:t>Anspruchsvoraussetzungen für den Kantonsbeitrag</w:t>
            </w:r>
            <w:r w:rsidR="007F7823">
              <w:rPr>
                <w:noProof/>
                <w:webHidden/>
              </w:rPr>
              <w:tab/>
            </w:r>
            <w:r w:rsidR="007F7823">
              <w:rPr>
                <w:noProof/>
                <w:webHidden/>
              </w:rPr>
              <w:fldChar w:fldCharType="begin"/>
            </w:r>
            <w:r w:rsidR="007F7823">
              <w:rPr>
                <w:noProof/>
                <w:webHidden/>
              </w:rPr>
              <w:instrText xml:space="preserve"> PAGEREF _Toc151475957 \h </w:instrText>
            </w:r>
            <w:r w:rsidR="007F7823">
              <w:rPr>
                <w:noProof/>
                <w:webHidden/>
              </w:rPr>
            </w:r>
            <w:r w:rsidR="007F7823">
              <w:rPr>
                <w:noProof/>
                <w:webHidden/>
              </w:rPr>
              <w:fldChar w:fldCharType="separate"/>
            </w:r>
            <w:r w:rsidR="007F7823">
              <w:rPr>
                <w:noProof/>
                <w:webHidden/>
              </w:rPr>
              <w:t>14</w:t>
            </w:r>
            <w:r w:rsidR="007F7823">
              <w:rPr>
                <w:noProof/>
                <w:webHidden/>
              </w:rPr>
              <w:fldChar w:fldCharType="end"/>
            </w:r>
          </w:hyperlink>
        </w:p>
        <w:p w14:paraId="250A8EDB" w14:textId="4B0A227D" w:rsidR="007F7823" w:rsidRDefault="00AC4866">
          <w:pPr>
            <w:pStyle w:val="Verzeichnis2"/>
            <w:rPr>
              <w:rFonts w:asciiTheme="minorHAnsi" w:eastAsiaTheme="minorEastAsia" w:hAnsiTheme="minorHAnsi" w:cstheme="minorBidi"/>
              <w:noProof/>
              <w:szCs w:val="22"/>
              <w:lang w:eastAsia="de-CH"/>
            </w:rPr>
          </w:pPr>
          <w:hyperlink w:anchor="_Toc151475958" w:history="1">
            <w:r w:rsidR="007F7823" w:rsidRPr="00732F23">
              <w:rPr>
                <w:rStyle w:val="Hyperlink"/>
                <w:noProof/>
              </w:rPr>
              <w:t>8.5.</w:t>
            </w:r>
            <w:r w:rsidR="007F7823">
              <w:rPr>
                <w:rFonts w:asciiTheme="minorHAnsi" w:eastAsiaTheme="minorEastAsia" w:hAnsiTheme="minorHAnsi" w:cstheme="minorBidi"/>
                <w:noProof/>
                <w:szCs w:val="22"/>
                <w:lang w:eastAsia="de-CH"/>
              </w:rPr>
              <w:tab/>
            </w:r>
            <w:r w:rsidR="007F7823" w:rsidRPr="00732F23">
              <w:rPr>
                <w:rStyle w:val="Hyperlink"/>
                <w:noProof/>
              </w:rPr>
              <w:t>Prozess zur Verteilung und Auszahlung des Kantonsbeitrags</w:t>
            </w:r>
            <w:r w:rsidR="007F7823">
              <w:rPr>
                <w:noProof/>
                <w:webHidden/>
              </w:rPr>
              <w:tab/>
            </w:r>
            <w:r w:rsidR="007F7823">
              <w:rPr>
                <w:noProof/>
                <w:webHidden/>
              </w:rPr>
              <w:fldChar w:fldCharType="begin"/>
            </w:r>
            <w:r w:rsidR="007F7823">
              <w:rPr>
                <w:noProof/>
                <w:webHidden/>
              </w:rPr>
              <w:instrText xml:space="preserve"> PAGEREF _Toc151475958 \h </w:instrText>
            </w:r>
            <w:r w:rsidR="007F7823">
              <w:rPr>
                <w:noProof/>
                <w:webHidden/>
              </w:rPr>
            </w:r>
            <w:r w:rsidR="007F7823">
              <w:rPr>
                <w:noProof/>
                <w:webHidden/>
              </w:rPr>
              <w:fldChar w:fldCharType="separate"/>
            </w:r>
            <w:r w:rsidR="007F7823">
              <w:rPr>
                <w:noProof/>
                <w:webHidden/>
              </w:rPr>
              <w:t>14</w:t>
            </w:r>
            <w:r w:rsidR="007F7823">
              <w:rPr>
                <w:noProof/>
                <w:webHidden/>
              </w:rPr>
              <w:fldChar w:fldCharType="end"/>
            </w:r>
          </w:hyperlink>
        </w:p>
        <w:p w14:paraId="21173B8E" w14:textId="1AE66BB7" w:rsidR="007F7823" w:rsidRDefault="00AC4866">
          <w:pPr>
            <w:pStyle w:val="Verzeichnis3"/>
            <w:rPr>
              <w:rFonts w:asciiTheme="minorHAnsi" w:eastAsiaTheme="minorEastAsia" w:hAnsiTheme="minorHAnsi" w:cstheme="minorBidi"/>
              <w:i w:val="0"/>
              <w:noProof/>
            </w:rPr>
          </w:pPr>
          <w:hyperlink w:anchor="_Toc151475959" w:history="1">
            <w:r w:rsidR="007F7823" w:rsidRPr="00732F23">
              <w:rPr>
                <w:rStyle w:val="Hyperlink"/>
                <w:noProof/>
                <w14:scene3d>
                  <w14:camera w14:prst="orthographicFront"/>
                  <w14:lightRig w14:rig="threePt" w14:dir="t">
                    <w14:rot w14:lat="0" w14:lon="0" w14:rev="0"/>
                  </w14:lightRig>
                </w14:scene3d>
              </w:rPr>
              <w:t>8.5.1.</w:t>
            </w:r>
            <w:r w:rsidR="007F7823">
              <w:rPr>
                <w:rFonts w:asciiTheme="minorHAnsi" w:eastAsiaTheme="minorEastAsia" w:hAnsiTheme="minorHAnsi" w:cstheme="minorBidi"/>
                <w:i w:val="0"/>
                <w:noProof/>
              </w:rPr>
              <w:tab/>
            </w:r>
            <w:r w:rsidR="007F7823" w:rsidRPr="00732F23">
              <w:rPr>
                <w:rStyle w:val="Hyperlink"/>
                <w:noProof/>
              </w:rPr>
              <w:t>Vorgehen</w:t>
            </w:r>
            <w:r w:rsidR="007F7823">
              <w:rPr>
                <w:noProof/>
                <w:webHidden/>
              </w:rPr>
              <w:tab/>
            </w:r>
            <w:r w:rsidR="007F7823">
              <w:rPr>
                <w:noProof/>
                <w:webHidden/>
              </w:rPr>
              <w:fldChar w:fldCharType="begin"/>
            </w:r>
            <w:r w:rsidR="007F7823">
              <w:rPr>
                <w:noProof/>
                <w:webHidden/>
              </w:rPr>
              <w:instrText xml:space="preserve"> PAGEREF _Toc151475959 \h </w:instrText>
            </w:r>
            <w:r w:rsidR="007F7823">
              <w:rPr>
                <w:noProof/>
                <w:webHidden/>
              </w:rPr>
            </w:r>
            <w:r w:rsidR="007F7823">
              <w:rPr>
                <w:noProof/>
                <w:webHidden/>
              </w:rPr>
              <w:fldChar w:fldCharType="separate"/>
            </w:r>
            <w:r w:rsidR="007F7823">
              <w:rPr>
                <w:noProof/>
                <w:webHidden/>
              </w:rPr>
              <w:t>14</w:t>
            </w:r>
            <w:r w:rsidR="007F7823">
              <w:rPr>
                <w:noProof/>
                <w:webHidden/>
              </w:rPr>
              <w:fldChar w:fldCharType="end"/>
            </w:r>
          </w:hyperlink>
        </w:p>
        <w:p w14:paraId="135481D1" w14:textId="56AE69AA" w:rsidR="007F7823" w:rsidRDefault="00AC4866">
          <w:pPr>
            <w:pStyle w:val="Verzeichnis3"/>
            <w:rPr>
              <w:rFonts w:asciiTheme="minorHAnsi" w:eastAsiaTheme="minorEastAsia" w:hAnsiTheme="minorHAnsi" w:cstheme="minorBidi"/>
              <w:i w:val="0"/>
              <w:noProof/>
            </w:rPr>
          </w:pPr>
          <w:hyperlink w:anchor="_Toc151475960" w:history="1">
            <w:r w:rsidR="007F7823" w:rsidRPr="00732F23">
              <w:rPr>
                <w:rStyle w:val="Hyperlink"/>
                <w:noProof/>
                <w14:scene3d>
                  <w14:camera w14:prst="orthographicFront"/>
                  <w14:lightRig w14:rig="threePt" w14:dir="t">
                    <w14:rot w14:lat="0" w14:lon="0" w14:rev="0"/>
                  </w14:lightRig>
                </w14:scene3d>
              </w:rPr>
              <w:t>8.5.2.</w:t>
            </w:r>
            <w:r w:rsidR="007F7823">
              <w:rPr>
                <w:rFonts w:asciiTheme="minorHAnsi" w:eastAsiaTheme="minorEastAsia" w:hAnsiTheme="minorHAnsi" w:cstheme="minorBidi"/>
                <w:i w:val="0"/>
                <w:noProof/>
              </w:rPr>
              <w:tab/>
            </w:r>
            <w:r w:rsidR="007F7823" w:rsidRPr="00732F23">
              <w:rPr>
                <w:rStyle w:val="Hyperlink"/>
                <w:noProof/>
              </w:rPr>
              <w:t>Nachträgliche Korrekturen im Folgejahr</w:t>
            </w:r>
            <w:r w:rsidR="007F7823">
              <w:rPr>
                <w:noProof/>
                <w:webHidden/>
              </w:rPr>
              <w:tab/>
            </w:r>
            <w:r w:rsidR="007F7823">
              <w:rPr>
                <w:noProof/>
                <w:webHidden/>
              </w:rPr>
              <w:fldChar w:fldCharType="begin"/>
            </w:r>
            <w:r w:rsidR="007F7823">
              <w:rPr>
                <w:noProof/>
                <w:webHidden/>
              </w:rPr>
              <w:instrText xml:space="preserve"> PAGEREF _Toc151475960 \h </w:instrText>
            </w:r>
            <w:r w:rsidR="007F7823">
              <w:rPr>
                <w:noProof/>
                <w:webHidden/>
              </w:rPr>
            </w:r>
            <w:r w:rsidR="007F7823">
              <w:rPr>
                <w:noProof/>
                <w:webHidden/>
              </w:rPr>
              <w:fldChar w:fldCharType="separate"/>
            </w:r>
            <w:r w:rsidR="007F7823">
              <w:rPr>
                <w:noProof/>
                <w:webHidden/>
              </w:rPr>
              <w:t>14</w:t>
            </w:r>
            <w:r w:rsidR="007F7823">
              <w:rPr>
                <w:noProof/>
                <w:webHidden/>
              </w:rPr>
              <w:fldChar w:fldCharType="end"/>
            </w:r>
          </w:hyperlink>
        </w:p>
        <w:p w14:paraId="2C04F07D" w14:textId="63941AC2" w:rsidR="007F7823" w:rsidRDefault="00AC4866">
          <w:pPr>
            <w:pStyle w:val="Verzeichnis2"/>
            <w:rPr>
              <w:rFonts w:asciiTheme="minorHAnsi" w:eastAsiaTheme="minorEastAsia" w:hAnsiTheme="minorHAnsi" w:cstheme="minorBidi"/>
              <w:noProof/>
              <w:szCs w:val="22"/>
              <w:lang w:eastAsia="de-CH"/>
            </w:rPr>
          </w:pPr>
          <w:hyperlink w:anchor="_Toc151475961" w:history="1">
            <w:r w:rsidR="007F7823" w:rsidRPr="00732F23">
              <w:rPr>
                <w:rStyle w:val="Hyperlink"/>
                <w:noProof/>
              </w:rPr>
              <w:t>8.6.</w:t>
            </w:r>
            <w:r w:rsidR="007F7823">
              <w:rPr>
                <w:rFonts w:asciiTheme="minorHAnsi" w:eastAsiaTheme="minorEastAsia" w:hAnsiTheme="minorHAnsi" w:cstheme="minorBidi"/>
                <w:noProof/>
                <w:szCs w:val="22"/>
                <w:lang w:eastAsia="de-CH"/>
              </w:rPr>
              <w:tab/>
            </w:r>
            <w:r w:rsidR="007F7823" w:rsidRPr="00732F23">
              <w:rPr>
                <w:rStyle w:val="Hyperlink"/>
                <w:noProof/>
              </w:rPr>
              <w:t>Überprüfung der ausgerichteten Mietzinsbeiträge (Vo MBG § 6 Abs. 3 bis 6)</w:t>
            </w:r>
            <w:r w:rsidR="007F7823">
              <w:rPr>
                <w:noProof/>
                <w:webHidden/>
              </w:rPr>
              <w:tab/>
            </w:r>
            <w:r w:rsidR="007F7823">
              <w:rPr>
                <w:noProof/>
                <w:webHidden/>
              </w:rPr>
              <w:fldChar w:fldCharType="begin"/>
            </w:r>
            <w:r w:rsidR="007F7823">
              <w:rPr>
                <w:noProof/>
                <w:webHidden/>
              </w:rPr>
              <w:instrText xml:space="preserve"> PAGEREF _Toc151475961 \h </w:instrText>
            </w:r>
            <w:r w:rsidR="007F7823">
              <w:rPr>
                <w:noProof/>
                <w:webHidden/>
              </w:rPr>
            </w:r>
            <w:r w:rsidR="007F7823">
              <w:rPr>
                <w:noProof/>
                <w:webHidden/>
              </w:rPr>
              <w:fldChar w:fldCharType="separate"/>
            </w:r>
            <w:r w:rsidR="007F7823">
              <w:rPr>
                <w:noProof/>
                <w:webHidden/>
              </w:rPr>
              <w:t>14</w:t>
            </w:r>
            <w:r w:rsidR="007F7823">
              <w:rPr>
                <w:noProof/>
                <w:webHidden/>
              </w:rPr>
              <w:fldChar w:fldCharType="end"/>
            </w:r>
          </w:hyperlink>
        </w:p>
        <w:p w14:paraId="548AC2C7" w14:textId="426185D8" w:rsidR="007F7823" w:rsidRDefault="00AC4866">
          <w:pPr>
            <w:pStyle w:val="Verzeichnis3"/>
            <w:rPr>
              <w:rFonts w:asciiTheme="minorHAnsi" w:eastAsiaTheme="minorEastAsia" w:hAnsiTheme="minorHAnsi" w:cstheme="minorBidi"/>
              <w:i w:val="0"/>
              <w:noProof/>
            </w:rPr>
          </w:pPr>
          <w:hyperlink w:anchor="_Toc151475962" w:history="1">
            <w:r w:rsidR="007F7823" w:rsidRPr="00732F23">
              <w:rPr>
                <w:rStyle w:val="Hyperlink"/>
                <w:noProof/>
                <w14:scene3d>
                  <w14:camera w14:prst="orthographicFront"/>
                  <w14:lightRig w14:rig="threePt" w14:dir="t">
                    <w14:rot w14:lat="0" w14:lon="0" w14:rev="0"/>
                  </w14:lightRig>
                </w14:scene3d>
              </w:rPr>
              <w:t>8.6.1.</w:t>
            </w:r>
            <w:r w:rsidR="007F7823">
              <w:rPr>
                <w:rFonts w:asciiTheme="minorHAnsi" w:eastAsiaTheme="minorEastAsia" w:hAnsiTheme="minorHAnsi" w:cstheme="minorBidi"/>
                <w:i w:val="0"/>
                <w:noProof/>
              </w:rPr>
              <w:tab/>
            </w:r>
            <w:r w:rsidR="007F7823" w:rsidRPr="00732F23">
              <w:rPr>
                <w:rStyle w:val="Hyperlink"/>
                <w:noProof/>
              </w:rPr>
              <w:t>Indikatoren («Kennzahlen»)</w:t>
            </w:r>
            <w:r w:rsidR="007F7823">
              <w:rPr>
                <w:noProof/>
                <w:webHidden/>
              </w:rPr>
              <w:tab/>
            </w:r>
            <w:r w:rsidR="007F7823">
              <w:rPr>
                <w:noProof/>
                <w:webHidden/>
              </w:rPr>
              <w:fldChar w:fldCharType="begin"/>
            </w:r>
            <w:r w:rsidR="007F7823">
              <w:rPr>
                <w:noProof/>
                <w:webHidden/>
              </w:rPr>
              <w:instrText xml:space="preserve"> PAGEREF _Toc151475962 \h </w:instrText>
            </w:r>
            <w:r w:rsidR="007F7823">
              <w:rPr>
                <w:noProof/>
                <w:webHidden/>
              </w:rPr>
            </w:r>
            <w:r w:rsidR="007F7823">
              <w:rPr>
                <w:noProof/>
                <w:webHidden/>
              </w:rPr>
              <w:fldChar w:fldCharType="separate"/>
            </w:r>
            <w:r w:rsidR="007F7823">
              <w:rPr>
                <w:noProof/>
                <w:webHidden/>
              </w:rPr>
              <w:t>14</w:t>
            </w:r>
            <w:r w:rsidR="007F7823">
              <w:rPr>
                <w:noProof/>
                <w:webHidden/>
              </w:rPr>
              <w:fldChar w:fldCharType="end"/>
            </w:r>
          </w:hyperlink>
        </w:p>
        <w:p w14:paraId="6A5F1E30" w14:textId="2BFB6111" w:rsidR="007F7823" w:rsidRDefault="00AC4866">
          <w:pPr>
            <w:pStyle w:val="Verzeichnis3"/>
            <w:rPr>
              <w:rFonts w:asciiTheme="minorHAnsi" w:eastAsiaTheme="minorEastAsia" w:hAnsiTheme="minorHAnsi" w:cstheme="minorBidi"/>
              <w:i w:val="0"/>
              <w:noProof/>
            </w:rPr>
          </w:pPr>
          <w:hyperlink w:anchor="_Toc151475963" w:history="1">
            <w:r w:rsidR="007F7823" w:rsidRPr="00732F23">
              <w:rPr>
                <w:rStyle w:val="Hyperlink"/>
                <w:noProof/>
                <w14:scene3d>
                  <w14:camera w14:prst="orthographicFront"/>
                  <w14:lightRig w14:rig="threePt" w14:dir="t">
                    <w14:rot w14:lat="0" w14:lon="0" w14:rev="0"/>
                  </w14:lightRig>
                </w14:scene3d>
              </w:rPr>
              <w:t>8.6.2.</w:t>
            </w:r>
            <w:r w:rsidR="007F7823">
              <w:rPr>
                <w:rFonts w:asciiTheme="minorHAnsi" w:eastAsiaTheme="minorEastAsia" w:hAnsiTheme="minorHAnsi" w:cstheme="minorBidi"/>
                <w:i w:val="0"/>
                <w:noProof/>
              </w:rPr>
              <w:tab/>
            </w:r>
            <w:r w:rsidR="007F7823" w:rsidRPr="00732F23">
              <w:rPr>
                <w:rStyle w:val="Hyperlink"/>
                <w:noProof/>
              </w:rPr>
              <w:t>Inhalt und Struktur der Datenlieferung durch die Gemeinden an den Kanton</w:t>
            </w:r>
            <w:r w:rsidR="007F7823">
              <w:rPr>
                <w:noProof/>
                <w:webHidden/>
              </w:rPr>
              <w:tab/>
            </w:r>
            <w:r w:rsidR="007F7823">
              <w:rPr>
                <w:noProof/>
                <w:webHidden/>
              </w:rPr>
              <w:fldChar w:fldCharType="begin"/>
            </w:r>
            <w:r w:rsidR="007F7823">
              <w:rPr>
                <w:noProof/>
                <w:webHidden/>
              </w:rPr>
              <w:instrText xml:space="preserve"> PAGEREF _Toc151475963 \h </w:instrText>
            </w:r>
            <w:r w:rsidR="007F7823">
              <w:rPr>
                <w:noProof/>
                <w:webHidden/>
              </w:rPr>
            </w:r>
            <w:r w:rsidR="007F7823">
              <w:rPr>
                <w:noProof/>
                <w:webHidden/>
              </w:rPr>
              <w:fldChar w:fldCharType="separate"/>
            </w:r>
            <w:r w:rsidR="007F7823">
              <w:rPr>
                <w:noProof/>
                <w:webHidden/>
              </w:rPr>
              <w:t>15</w:t>
            </w:r>
            <w:r w:rsidR="007F7823">
              <w:rPr>
                <w:noProof/>
                <w:webHidden/>
              </w:rPr>
              <w:fldChar w:fldCharType="end"/>
            </w:r>
          </w:hyperlink>
        </w:p>
        <w:p w14:paraId="5E1605BB" w14:textId="6125920D" w:rsidR="007F7823" w:rsidRDefault="00AC4866">
          <w:pPr>
            <w:pStyle w:val="Verzeichnis3"/>
            <w:rPr>
              <w:rFonts w:asciiTheme="minorHAnsi" w:eastAsiaTheme="minorEastAsia" w:hAnsiTheme="minorHAnsi" w:cstheme="minorBidi"/>
              <w:i w:val="0"/>
              <w:noProof/>
            </w:rPr>
          </w:pPr>
          <w:hyperlink w:anchor="_Toc151475964" w:history="1">
            <w:r w:rsidR="007F7823" w:rsidRPr="00732F23">
              <w:rPr>
                <w:rStyle w:val="Hyperlink"/>
                <w:noProof/>
                <w14:scene3d>
                  <w14:camera w14:prst="orthographicFront"/>
                  <w14:lightRig w14:rig="threePt" w14:dir="t">
                    <w14:rot w14:lat="0" w14:lon="0" w14:rev="0"/>
                  </w14:lightRig>
                </w14:scene3d>
              </w:rPr>
              <w:t>8.6.3.</w:t>
            </w:r>
            <w:r w:rsidR="007F7823">
              <w:rPr>
                <w:rFonts w:asciiTheme="minorHAnsi" w:eastAsiaTheme="minorEastAsia" w:hAnsiTheme="minorHAnsi" w:cstheme="minorBidi"/>
                <w:i w:val="0"/>
                <w:noProof/>
              </w:rPr>
              <w:tab/>
            </w:r>
            <w:r w:rsidR="007F7823" w:rsidRPr="00732F23">
              <w:rPr>
                <w:rStyle w:val="Hyperlink"/>
                <w:noProof/>
              </w:rPr>
              <w:t>Art der Datenerfassung</w:t>
            </w:r>
            <w:r w:rsidR="007F7823">
              <w:rPr>
                <w:noProof/>
                <w:webHidden/>
              </w:rPr>
              <w:tab/>
            </w:r>
            <w:r w:rsidR="007F7823">
              <w:rPr>
                <w:noProof/>
                <w:webHidden/>
              </w:rPr>
              <w:fldChar w:fldCharType="begin"/>
            </w:r>
            <w:r w:rsidR="007F7823">
              <w:rPr>
                <w:noProof/>
                <w:webHidden/>
              </w:rPr>
              <w:instrText xml:space="preserve"> PAGEREF _Toc151475964 \h </w:instrText>
            </w:r>
            <w:r w:rsidR="007F7823">
              <w:rPr>
                <w:noProof/>
                <w:webHidden/>
              </w:rPr>
            </w:r>
            <w:r w:rsidR="007F7823">
              <w:rPr>
                <w:noProof/>
                <w:webHidden/>
              </w:rPr>
              <w:fldChar w:fldCharType="separate"/>
            </w:r>
            <w:r w:rsidR="007F7823">
              <w:rPr>
                <w:noProof/>
                <w:webHidden/>
              </w:rPr>
              <w:t>15</w:t>
            </w:r>
            <w:r w:rsidR="007F7823">
              <w:rPr>
                <w:noProof/>
                <w:webHidden/>
              </w:rPr>
              <w:fldChar w:fldCharType="end"/>
            </w:r>
          </w:hyperlink>
        </w:p>
        <w:p w14:paraId="0DE6BF2A" w14:textId="231B4E0C" w:rsidR="007F7823" w:rsidRDefault="00AC4866">
          <w:pPr>
            <w:pStyle w:val="Verzeichnis3"/>
            <w:rPr>
              <w:rFonts w:asciiTheme="minorHAnsi" w:eastAsiaTheme="minorEastAsia" w:hAnsiTheme="minorHAnsi" w:cstheme="minorBidi"/>
              <w:i w:val="0"/>
              <w:noProof/>
            </w:rPr>
          </w:pPr>
          <w:hyperlink w:anchor="_Toc151475965" w:history="1">
            <w:r w:rsidR="007F7823" w:rsidRPr="00732F23">
              <w:rPr>
                <w:rStyle w:val="Hyperlink"/>
                <w:noProof/>
                <w14:scene3d>
                  <w14:camera w14:prst="orthographicFront"/>
                  <w14:lightRig w14:rig="threePt" w14:dir="t">
                    <w14:rot w14:lat="0" w14:lon="0" w14:rev="0"/>
                  </w14:lightRig>
                </w14:scene3d>
              </w:rPr>
              <w:t>8.6.4.</w:t>
            </w:r>
            <w:r w:rsidR="007F7823">
              <w:rPr>
                <w:rFonts w:asciiTheme="minorHAnsi" w:eastAsiaTheme="minorEastAsia" w:hAnsiTheme="minorHAnsi" w:cstheme="minorBidi"/>
                <w:i w:val="0"/>
                <w:noProof/>
              </w:rPr>
              <w:tab/>
            </w:r>
            <w:r w:rsidR="007F7823" w:rsidRPr="00732F23">
              <w:rPr>
                <w:rStyle w:val="Hyperlink"/>
                <w:noProof/>
              </w:rPr>
              <w:t>Art der Datenlieferung</w:t>
            </w:r>
            <w:r w:rsidR="007F7823">
              <w:rPr>
                <w:noProof/>
                <w:webHidden/>
              </w:rPr>
              <w:tab/>
            </w:r>
            <w:r w:rsidR="007F7823">
              <w:rPr>
                <w:noProof/>
                <w:webHidden/>
              </w:rPr>
              <w:fldChar w:fldCharType="begin"/>
            </w:r>
            <w:r w:rsidR="007F7823">
              <w:rPr>
                <w:noProof/>
                <w:webHidden/>
              </w:rPr>
              <w:instrText xml:space="preserve"> PAGEREF _Toc151475965 \h </w:instrText>
            </w:r>
            <w:r w:rsidR="007F7823">
              <w:rPr>
                <w:noProof/>
                <w:webHidden/>
              </w:rPr>
            </w:r>
            <w:r w:rsidR="007F7823">
              <w:rPr>
                <w:noProof/>
                <w:webHidden/>
              </w:rPr>
              <w:fldChar w:fldCharType="separate"/>
            </w:r>
            <w:r w:rsidR="007F7823">
              <w:rPr>
                <w:noProof/>
                <w:webHidden/>
              </w:rPr>
              <w:t>15</w:t>
            </w:r>
            <w:r w:rsidR="007F7823">
              <w:rPr>
                <w:noProof/>
                <w:webHidden/>
              </w:rPr>
              <w:fldChar w:fldCharType="end"/>
            </w:r>
          </w:hyperlink>
        </w:p>
        <w:p w14:paraId="684054C5" w14:textId="0C19CEDC" w:rsidR="007F7823" w:rsidRDefault="00AC4866">
          <w:pPr>
            <w:pStyle w:val="Verzeichnis3"/>
            <w:rPr>
              <w:rFonts w:asciiTheme="minorHAnsi" w:eastAsiaTheme="minorEastAsia" w:hAnsiTheme="minorHAnsi" w:cstheme="minorBidi"/>
              <w:i w:val="0"/>
              <w:noProof/>
            </w:rPr>
          </w:pPr>
          <w:hyperlink w:anchor="_Toc151475966" w:history="1">
            <w:r w:rsidR="007F7823" w:rsidRPr="00732F23">
              <w:rPr>
                <w:rStyle w:val="Hyperlink"/>
                <w:noProof/>
                <w14:scene3d>
                  <w14:camera w14:prst="orthographicFront"/>
                  <w14:lightRig w14:rig="threePt" w14:dir="t">
                    <w14:rot w14:lat="0" w14:lon="0" w14:rev="0"/>
                  </w14:lightRig>
                </w14:scene3d>
              </w:rPr>
              <w:t>8.6.5.</w:t>
            </w:r>
            <w:r w:rsidR="007F7823">
              <w:rPr>
                <w:rFonts w:asciiTheme="minorHAnsi" w:eastAsiaTheme="minorEastAsia" w:hAnsiTheme="minorHAnsi" w:cstheme="minorBidi"/>
                <w:i w:val="0"/>
                <w:noProof/>
              </w:rPr>
              <w:tab/>
            </w:r>
            <w:r w:rsidR="007F7823" w:rsidRPr="00732F23">
              <w:rPr>
                <w:rStyle w:val="Hyperlink"/>
                <w:noProof/>
              </w:rPr>
              <w:t>Frist der Datenlieferung</w:t>
            </w:r>
            <w:r w:rsidR="007F7823">
              <w:rPr>
                <w:noProof/>
                <w:webHidden/>
              </w:rPr>
              <w:tab/>
            </w:r>
            <w:r w:rsidR="007F7823">
              <w:rPr>
                <w:noProof/>
                <w:webHidden/>
              </w:rPr>
              <w:fldChar w:fldCharType="begin"/>
            </w:r>
            <w:r w:rsidR="007F7823">
              <w:rPr>
                <w:noProof/>
                <w:webHidden/>
              </w:rPr>
              <w:instrText xml:space="preserve"> PAGEREF _Toc151475966 \h </w:instrText>
            </w:r>
            <w:r w:rsidR="007F7823">
              <w:rPr>
                <w:noProof/>
                <w:webHidden/>
              </w:rPr>
            </w:r>
            <w:r w:rsidR="007F7823">
              <w:rPr>
                <w:noProof/>
                <w:webHidden/>
              </w:rPr>
              <w:fldChar w:fldCharType="separate"/>
            </w:r>
            <w:r w:rsidR="007F7823">
              <w:rPr>
                <w:noProof/>
                <w:webHidden/>
              </w:rPr>
              <w:t>15</w:t>
            </w:r>
            <w:r w:rsidR="007F7823">
              <w:rPr>
                <w:noProof/>
                <w:webHidden/>
              </w:rPr>
              <w:fldChar w:fldCharType="end"/>
            </w:r>
          </w:hyperlink>
        </w:p>
        <w:p w14:paraId="0700F159" w14:textId="3DB81227" w:rsidR="007F7823" w:rsidRDefault="00AC4866">
          <w:pPr>
            <w:pStyle w:val="Verzeichnis3"/>
            <w:rPr>
              <w:rFonts w:asciiTheme="minorHAnsi" w:eastAsiaTheme="minorEastAsia" w:hAnsiTheme="minorHAnsi" w:cstheme="minorBidi"/>
              <w:i w:val="0"/>
              <w:noProof/>
            </w:rPr>
          </w:pPr>
          <w:hyperlink w:anchor="_Toc151475967" w:history="1">
            <w:r w:rsidR="007F7823" w:rsidRPr="00732F23">
              <w:rPr>
                <w:rStyle w:val="Hyperlink"/>
                <w:noProof/>
                <w14:scene3d>
                  <w14:camera w14:prst="orthographicFront"/>
                  <w14:lightRig w14:rig="threePt" w14:dir="t">
                    <w14:rot w14:lat="0" w14:lon="0" w14:rev="0"/>
                  </w14:lightRig>
                </w14:scene3d>
              </w:rPr>
              <w:t>8.6.6.</w:t>
            </w:r>
            <w:r w:rsidR="007F7823">
              <w:rPr>
                <w:rFonts w:asciiTheme="minorHAnsi" w:eastAsiaTheme="minorEastAsia" w:hAnsiTheme="minorHAnsi" w:cstheme="minorBidi"/>
                <w:i w:val="0"/>
                <w:noProof/>
              </w:rPr>
              <w:tab/>
            </w:r>
            <w:r w:rsidR="007F7823" w:rsidRPr="00732F23">
              <w:rPr>
                <w:rStyle w:val="Hyperlink"/>
                <w:noProof/>
              </w:rPr>
              <w:t>Konsequenzen</w:t>
            </w:r>
            <w:r w:rsidR="007F7823">
              <w:rPr>
                <w:noProof/>
                <w:webHidden/>
              </w:rPr>
              <w:tab/>
            </w:r>
            <w:r w:rsidR="007F7823">
              <w:rPr>
                <w:noProof/>
                <w:webHidden/>
              </w:rPr>
              <w:fldChar w:fldCharType="begin"/>
            </w:r>
            <w:r w:rsidR="007F7823">
              <w:rPr>
                <w:noProof/>
                <w:webHidden/>
              </w:rPr>
              <w:instrText xml:space="preserve"> PAGEREF _Toc151475967 \h </w:instrText>
            </w:r>
            <w:r w:rsidR="007F7823">
              <w:rPr>
                <w:noProof/>
                <w:webHidden/>
              </w:rPr>
            </w:r>
            <w:r w:rsidR="007F7823">
              <w:rPr>
                <w:noProof/>
                <w:webHidden/>
              </w:rPr>
              <w:fldChar w:fldCharType="separate"/>
            </w:r>
            <w:r w:rsidR="007F7823">
              <w:rPr>
                <w:noProof/>
                <w:webHidden/>
              </w:rPr>
              <w:t>15</w:t>
            </w:r>
            <w:r w:rsidR="007F7823">
              <w:rPr>
                <w:noProof/>
                <w:webHidden/>
              </w:rPr>
              <w:fldChar w:fldCharType="end"/>
            </w:r>
          </w:hyperlink>
        </w:p>
        <w:p w14:paraId="4A378666" w14:textId="4DB8834F" w:rsidR="007F7823" w:rsidRDefault="00AC4866">
          <w:pPr>
            <w:pStyle w:val="Verzeichnis3"/>
            <w:rPr>
              <w:rFonts w:asciiTheme="minorHAnsi" w:eastAsiaTheme="minorEastAsia" w:hAnsiTheme="minorHAnsi" w:cstheme="minorBidi"/>
              <w:i w:val="0"/>
              <w:noProof/>
            </w:rPr>
          </w:pPr>
          <w:hyperlink w:anchor="_Toc151475968" w:history="1">
            <w:r w:rsidR="007F7823" w:rsidRPr="00732F23">
              <w:rPr>
                <w:rStyle w:val="Hyperlink"/>
                <w:noProof/>
                <w14:scene3d>
                  <w14:camera w14:prst="orthographicFront"/>
                  <w14:lightRig w14:rig="threePt" w14:dir="t">
                    <w14:rot w14:lat="0" w14:lon="0" w14:rev="0"/>
                  </w14:lightRig>
                </w14:scene3d>
              </w:rPr>
              <w:t>8.6.7.</w:t>
            </w:r>
            <w:r w:rsidR="007F7823">
              <w:rPr>
                <w:rFonts w:asciiTheme="minorHAnsi" w:eastAsiaTheme="minorEastAsia" w:hAnsiTheme="minorHAnsi" w:cstheme="minorBidi"/>
                <w:i w:val="0"/>
                <w:noProof/>
              </w:rPr>
              <w:tab/>
            </w:r>
            <w:r w:rsidR="007F7823" w:rsidRPr="00732F23">
              <w:rPr>
                <w:rStyle w:val="Hyperlink"/>
                <w:noProof/>
              </w:rPr>
              <w:t>Hinweise zur Dossierführung</w:t>
            </w:r>
            <w:r w:rsidR="007F7823">
              <w:rPr>
                <w:noProof/>
                <w:webHidden/>
              </w:rPr>
              <w:tab/>
            </w:r>
            <w:r w:rsidR="007F7823">
              <w:rPr>
                <w:noProof/>
                <w:webHidden/>
              </w:rPr>
              <w:fldChar w:fldCharType="begin"/>
            </w:r>
            <w:r w:rsidR="007F7823">
              <w:rPr>
                <w:noProof/>
                <w:webHidden/>
              </w:rPr>
              <w:instrText xml:space="preserve"> PAGEREF _Toc151475968 \h </w:instrText>
            </w:r>
            <w:r w:rsidR="007F7823">
              <w:rPr>
                <w:noProof/>
                <w:webHidden/>
              </w:rPr>
            </w:r>
            <w:r w:rsidR="007F7823">
              <w:rPr>
                <w:noProof/>
                <w:webHidden/>
              </w:rPr>
              <w:fldChar w:fldCharType="separate"/>
            </w:r>
            <w:r w:rsidR="007F7823">
              <w:rPr>
                <w:noProof/>
                <w:webHidden/>
              </w:rPr>
              <w:t>16</w:t>
            </w:r>
            <w:r w:rsidR="007F7823">
              <w:rPr>
                <w:noProof/>
                <w:webHidden/>
              </w:rPr>
              <w:fldChar w:fldCharType="end"/>
            </w:r>
          </w:hyperlink>
        </w:p>
        <w:p w14:paraId="4F2BD131" w14:textId="44168266" w:rsidR="007F7823" w:rsidRDefault="00AC4866">
          <w:pPr>
            <w:pStyle w:val="Verzeichnis1"/>
            <w:rPr>
              <w:rFonts w:asciiTheme="minorHAnsi" w:eastAsiaTheme="minorEastAsia" w:hAnsiTheme="minorHAnsi" w:cstheme="minorBidi"/>
              <w:noProof/>
              <w:szCs w:val="22"/>
              <w:lang w:eastAsia="de-CH"/>
            </w:rPr>
          </w:pPr>
          <w:hyperlink w:anchor="_Toc151475969" w:history="1">
            <w:r w:rsidR="007F7823" w:rsidRPr="00732F23">
              <w:rPr>
                <w:rStyle w:val="Hyperlink"/>
                <w:noProof/>
              </w:rPr>
              <w:t>9.</w:t>
            </w:r>
            <w:r w:rsidR="007F7823">
              <w:rPr>
                <w:rFonts w:asciiTheme="minorHAnsi" w:eastAsiaTheme="minorEastAsia" w:hAnsiTheme="minorHAnsi" w:cstheme="minorBidi"/>
                <w:noProof/>
                <w:szCs w:val="22"/>
                <w:lang w:eastAsia="de-CH"/>
              </w:rPr>
              <w:tab/>
            </w:r>
            <w:r w:rsidR="007F7823" w:rsidRPr="00732F23">
              <w:rPr>
                <w:rStyle w:val="Hyperlink"/>
                <w:noProof/>
              </w:rPr>
              <w:t>Aufsicht (§ 15 MBG)</w:t>
            </w:r>
            <w:r w:rsidR="007F7823">
              <w:rPr>
                <w:noProof/>
                <w:webHidden/>
              </w:rPr>
              <w:tab/>
            </w:r>
            <w:r w:rsidR="007F7823">
              <w:rPr>
                <w:noProof/>
                <w:webHidden/>
              </w:rPr>
              <w:fldChar w:fldCharType="begin"/>
            </w:r>
            <w:r w:rsidR="007F7823">
              <w:rPr>
                <w:noProof/>
                <w:webHidden/>
              </w:rPr>
              <w:instrText xml:space="preserve"> PAGEREF _Toc151475969 \h </w:instrText>
            </w:r>
            <w:r w:rsidR="007F7823">
              <w:rPr>
                <w:noProof/>
                <w:webHidden/>
              </w:rPr>
            </w:r>
            <w:r w:rsidR="007F7823">
              <w:rPr>
                <w:noProof/>
                <w:webHidden/>
              </w:rPr>
              <w:fldChar w:fldCharType="separate"/>
            </w:r>
            <w:r w:rsidR="007F7823">
              <w:rPr>
                <w:noProof/>
                <w:webHidden/>
              </w:rPr>
              <w:t>16</w:t>
            </w:r>
            <w:r w:rsidR="007F7823">
              <w:rPr>
                <w:noProof/>
                <w:webHidden/>
              </w:rPr>
              <w:fldChar w:fldCharType="end"/>
            </w:r>
          </w:hyperlink>
        </w:p>
        <w:p w14:paraId="5F053258" w14:textId="43F2170F" w:rsidR="007F7823" w:rsidRDefault="00AC4866">
          <w:pPr>
            <w:pStyle w:val="Verzeichnis2"/>
            <w:rPr>
              <w:rFonts w:asciiTheme="minorHAnsi" w:eastAsiaTheme="minorEastAsia" w:hAnsiTheme="minorHAnsi" w:cstheme="minorBidi"/>
              <w:noProof/>
              <w:szCs w:val="22"/>
              <w:lang w:eastAsia="de-CH"/>
            </w:rPr>
          </w:pPr>
          <w:hyperlink w:anchor="_Toc151475970" w:history="1">
            <w:r w:rsidR="007F7823" w:rsidRPr="00732F23">
              <w:rPr>
                <w:rStyle w:val="Hyperlink"/>
                <w:noProof/>
              </w:rPr>
              <w:t>9.1.</w:t>
            </w:r>
            <w:r w:rsidR="007F7823">
              <w:rPr>
                <w:rFonts w:asciiTheme="minorHAnsi" w:eastAsiaTheme="minorEastAsia" w:hAnsiTheme="minorHAnsi" w:cstheme="minorBidi"/>
                <w:noProof/>
                <w:szCs w:val="22"/>
                <w:lang w:eastAsia="de-CH"/>
              </w:rPr>
              <w:tab/>
            </w:r>
            <w:r w:rsidR="007F7823" w:rsidRPr="00732F23">
              <w:rPr>
                <w:rStyle w:val="Hyperlink"/>
                <w:noProof/>
              </w:rPr>
              <w:t>Aufsichtsfunktion</w:t>
            </w:r>
            <w:r w:rsidR="007F7823">
              <w:rPr>
                <w:noProof/>
                <w:webHidden/>
              </w:rPr>
              <w:tab/>
            </w:r>
            <w:r w:rsidR="007F7823">
              <w:rPr>
                <w:noProof/>
                <w:webHidden/>
              </w:rPr>
              <w:fldChar w:fldCharType="begin"/>
            </w:r>
            <w:r w:rsidR="007F7823">
              <w:rPr>
                <w:noProof/>
                <w:webHidden/>
              </w:rPr>
              <w:instrText xml:space="preserve"> PAGEREF _Toc151475970 \h </w:instrText>
            </w:r>
            <w:r w:rsidR="007F7823">
              <w:rPr>
                <w:noProof/>
                <w:webHidden/>
              </w:rPr>
            </w:r>
            <w:r w:rsidR="007F7823">
              <w:rPr>
                <w:noProof/>
                <w:webHidden/>
              </w:rPr>
              <w:fldChar w:fldCharType="separate"/>
            </w:r>
            <w:r w:rsidR="007F7823">
              <w:rPr>
                <w:noProof/>
                <w:webHidden/>
              </w:rPr>
              <w:t>16</w:t>
            </w:r>
            <w:r w:rsidR="007F7823">
              <w:rPr>
                <w:noProof/>
                <w:webHidden/>
              </w:rPr>
              <w:fldChar w:fldCharType="end"/>
            </w:r>
          </w:hyperlink>
        </w:p>
        <w:p w14:paraId="6569493C" w14:textId="7A2C35F7" w:rsidR="007F7823" w:rsidRDefault="00AC4866">
          <w:pPr>
            <w:pStyle w:val="Verzeichnis2"/>
            <w:rPr>
              <w:rFonts w:asciiTheme="minorHAnsi" w:eastAsiaTheme="minorEastAsia" w:hAnsiTheme="minorHAnsi" w:cstheme="minorBidi"/>
              <w:noProof/>
              <w:szCs w:val="22"/>
              <w:lang w:eastAsia="de-CH"/>
            </w:rPr>
          </w:pPr>
          <w:hyperlink w:anchor="_Toc151475971" w:history="1">
            <w:r w:rsidR="007F7823" w:rsidRPr="00732F23">
              <w:rPr>
                <w:rStyle w:val="Hyperlink"/>
                <w:noProof/>
              </w:rPr>
              <w:t>9.2.</w:t>
            </w:r>
            <w:r w:rsidR="007F7823">
              <w:rPr>
                <w:rFonts w:asciiTheme="minorHAnsi" w:eastAsiaTheme="minorEastAsia" w:hAnsiTheme="minorHAnsi" w:cstheme="minorBidi"/>
                <w:noProof/>
                <w:szCs w:val="22"/>
                <w:lang w:eastAsia="de-CH"/>
              </w:rPr>
              <w:tab/>
            </w:r>
            <w:r w:rsidR="007F7823" w:rsidRPr="00732F23">
              <w:rPr>
                <w:rStyle w:val="Hyperlink"/>
                <w:noProof/>
              </w:rPr>
              <w:t>Konsequenzen bei Verweigerung der Einsicht</w:t>
            </w:r>
            <w:r w:rsidR="007F7823">
              <w:rPr>
                <w:noProof/>
                <w:webHidden/>
              </w:rPr>
              <w:tab/>
            </w:r>
            <w:r w:rsidR="007F7823">
              <w:rPr>
                <w:noProof/>
                <w:webHidden/>
              </w:rPr>
              <w:fldChar w:fldCharType="begin"/>
            </w:r>
            <w:r w:rsidR="007F7823">
              <w:rPr>
                <w:noProof/>
                <w:webHidden/>
              </w:rPr>
              <w:instrText xml:space="preserve"> PAGEREF _Toc151475971 \h </w:instrText>
            </w:r>
            <w:r w:rsidR="007F7823">
              <w:rPr>
                <w:noProof/>
                <w:webHidden/>
              </w:rPr>
            </w:r>
            <w:r w:rsidR="007F7823">
              <w:rPr>
                <w:noProof/>
                <w:webHidden/>
              </w:rPr>
              <w:fldChar w:fldCharType="separate"/>
            </w:r>
            <w:r w:rsidR="007F7823">
              <w:rPr>
                <w:noProof/>
                <w:webHidden/>
              </w:rPr>
              <w:t>16</w:t>
            </w:r>
            <w:r w:rsidR="007F7823">
              <w:rPr>
                <w:noProof/>
                <w:webHidden/>
              </w:rPr>
              <w:fldChar w:fldCharType="end"/>
            </w:r>
          </w:hyperlink>
        </w:p>
        <w:p w14:paraId="132B78E3" w14:textId="1883EFA1" w:rsidR="007F7823" w:rsidRDefault="00AC4866">
          <w:pPr>
            <w:pStyle w:val="Verzeichnis1"/>
            <w:rPr>
              <w:rFonts w:asciiTheme="minorHAnsi" w:eastAsiaTheme="minorEastAsia" w:hAnsiTheme="minorHAnsi" w:cstheme="minorBidi"/>
              <w:noProof/>
              <w:szCs w:val="22"/>
              <w:lang w:eastAsia="de-CH"/>
            </w:rPr>
          </w:pPr>
          <w:hyperlink w:anchor="_Toc151475972" w:history="1">
            <w:r w:rsidR="007F7823" w:rsidRPr="00732F23">
              <w:rPr>
                <w:rStyle w:val="Hyperlink"/>
                <w:noProof/>
              </w:rPr>
              <w:t>10.</w:t>
            </w:r>
            <w:r w:rsidR="007F7823">
              <w:rPr>
                <w:rFonts w:asciiTheme="minorHAnsi" w:eastAsiaTheme="minorEastAsia" w:hAnsiTheme="minorHAnsi" w:cstheme="minorBidi"/>
                <w:noProof/>
                <w:szCs w:val="22"/>
                <w:lang w:eastAsia="de-CH"/>
              </w:rPr>
              <w:tab/>
            </w:r>
            <w:r w:rsidR="007F7823" w:rsidRPr="00732F23">
              <w:rPr>
                <w:rStyle w:val="Hyperlink"/>
                <w:noProof/>
              </w:rPr>
              <w:t>Übersicht Prozesse bzgl. Finanzierung, Überprüfung und Aufsicht</w:t>
            </w:r>
            <w:r w:rsidR="007F7823">
              <w:rPr>
                <w:noProof/>
                <w:webHidden/>
              </w:rPr>
              <w:tab/>
            </w:r>
            <w:r w:rsidR="007F7823">
              <w:rPr>
                <w:noProof/>
                <w:webHidden/>
              </w:rPr>
              <w:fldChar w:fldCharType="begin"/>
            </w:r>
            <w:r w:rsidR="007F7823">
              <w:rPr>
                <w:noProof/>
                <w:webHidden/>
              </w:rPr>
              <w:instrText xml:space="preserve"> PAGEREF _Toc151475972 \h </w:instrText>
            </w:r>
            <w:r w:rsidR="007F7823">
              <w:rPr>
                <w:noProof/>
                <w:webHidden/>
              </w:rPr>
            </w:r>
            <w:r w:rsidR="007F7823">
              <w:rPr>
                <w:noProof/>
                <w:webHidden/>
              </w:rPr>
              <w:fldChar w:fldCharType="separate"/>
            </w:r>
            <w:r w:rsidR="007F7823">
              <w:rPr>
                <w:noProof/>
                <w:webHidden/>
              </w:rPr>
              <w:t>16</w:t>
            </w:r>
            <w:r w:rsidR="007F7823">
              <w:rPr>
                <w:noProof/>
                <w:webHidden/>
              </w:rPr>
              <w:fldChar w:fldCharType="end"/>
            </w:r>
          </w:hyperlink>
        </w:p>
        <w:p w14:paraId="05C95A22" w14:textId="796FE3EB" w:rsidR="007F7823" w:rsidRDefault="00AC4866">
          <w:pPr>
            <w:pStyle w:val="Verzeichnis1"/>
            <w:rPr>
              <w:rFonts w:asciiTheme="minorHAnsi" w:eastAsiaTheme="minorEastAsia" w:hAnsiTheme="minorHAnsi" w:cstheme="minorBidi"/>
              <w:noProof/>
              <w:szCs w:val="22"/>
              <w:lang w:eastAsia="de-CH"/>
            </w:rPr>
          </w:pPr>
          <w:hyperlink w:anchor="_Toc151475973" w:history="1">
            <w:r w:rsidR="007F7823" w:rsidRPr="00732F23">
              <w:rPr>
                <w:rStyle w:val="Hyperlink"/>
                <w:noProof/>
              </w:rPr>
              <w:t>Anhang 1: Begriffserläuterung Mietzinsbeitragsgesetz</w:t>
            </w:r>
            <w:r w:rsidR="007F7823">
              <w:rPr>
                <w:noProof/>
                <w:webHidden/>
              </w:rPr>
              <w:tab/>
            </w:r>
            <w:r w:rsidR="007F7823">
              <w:rPr>
                <w:noProof/>
                <w:webHidden/>
              </w:rPr>
              <w:fldChar w:fldCharType="begin"/>
            </w:r>
            <w:r w:rsidR="007F7823">
              <w:rPr>
                <w:noProof/>
                <w:webHidden/>
              </w:rPr>
              <w:instrText xml:space="preserve"> PAGEREF _Toc151475973 \h </w:instrText>
            </w:r>
            <w:r w:rsidR="007F7823">
              <w:rPr>
                <w:noProof/>
                <w:webHidden/>
              </w:rPr>
            </w:r>
            <w:r w:rsidR="007F7823">
              <w:rPr>
                <w:noProof/>
                <w:webHidden/>
              </w:rPr>
              <w:fldChar w:fldCharType="separate"/>
            </w:r>
            <w:r w:rsidR="007F7823">
              <w:rPr>
                <w:noProof/>
                <w:webHidden/>
              </w:rPr>
              <w:t>17</w:t>
            </w:r>
            <w:r w:rsidR="007F7823">
              <w:rPr>
                <w:noProof/>
                <w:webHidden/>
              </w:rPr>
              <w:fldChar w:fldCharType="end"/>
            </w:r>
          </w:hyperlink>
        </w:p>
        <w:p w14:paraId="189390A3" w14:textId="5D77B29D" w:rsidR="007F7823" w:rsidRDefault="00AC4866">
          <w:pPr>
            <w:pStyle w:val="Verzeichnis1"/>
            <w:rPr>
              <w:rFonts w:asciiTheme="minorHAnsi" w:eastAsiaTheme="minorEastAsia" w:hAnsiTheme="minorHAnsi" w:cstheme="minorBidi"/>
              <w:noProof/>
              <w:szCs w:val="22"/>
              <w:lang w:eastAsia="de-CH"/>
            </w:rPr>
          </w:pPr>
          <w:hyperlink w:anchor="_Toc151475974" w:history="1">
            <w:r w:rsidR="007F7823" w:rsidRPr="00732F23">
              <w:rPr>
                <w:rStyle w:val="Hyperlink"/>
                <w:noProof/>
              </w:rPr>
              <w:t>Anhang 2: Berechnungsbeispiele</w:t>
            </w:r>
            <w:r w:rsidR="007F7823">
              <w:rPr>
                <w:noProof/>
                <w:webHidden/>
              </w:rPr>
              <w:tab/>
            </w:r>
            <w:r w:rsidR="007F7823">
              <w:rPr>
                <w:noProof/>
                <w:webHidden/>
              </w:rPr>
              <w:fldChar w:fldCharType="begin"/>
            </w:r>
            <w:r w:rsidR="007F7823">
              <w:rPr>
                <w:noProof/>
                <w:webHidden/>
              </w:rPr>
              <w:instrText xml:space="preserve"> PAGEREF _Toc151475974 \h </w:instrText>
            </w:r>
            <w:r w:rsidR="007F7823">
              <w:rPr>
                <w:noProof/>
                <w:webHidden/>
              </w:rPr>
            </w:r>
            <w:r w:rsidR="007F7823">
              <w:rPr>
                <w:noProof/>
                <w:webHidden/>
              </w:rPr>
              <w:fldChar w:fldCharType="separate"/>
            </w:r>
            <w:r w:rsidR="007F7823">
              <w:rPr>
                <w:noProof/>
                <w:webHidden/>
              </w:rPr>
              <w:t>19</w:t>
            </w:r>
            <w:r w:rsidR="007F7823">
              <w:rPr>
                <w:noProof/>
                <w:webHidden/>
              </w:rPr>
              <w:fldChar w:fldCharType="end"/>
            </w:r>
          </w:hyperlink>
        </w:p>
        <w:p w14:paraId="36689FC2" w14:textId="10C2EEB3" w:rsidR="006B4D14" w:rsidRDefault="006B4D14">
          <w:r>
            <w:rPr>
              <w:b/>
              <w:bCs/>
              <w:lang w:val="de-DE"/>
            </w:rPr>
            <w:fldChar w:fldCharType="end"/>
          </w:r>
        </w:p>
      </w:sdtContent>
    </w:sdt>
    <w:p w14:paraId="45B9A32E" w14:textId="77777777" w:rsidR="006B4D14" w:rsidRDefault="006B4D14" w:rsidP="00E710A4">
      <w:pPr>
        <w:pStyle w:val="Geschftsnummer"/>
        <w:jc w:val="left"/>
      </w:pPr>
    </w:p>
    <w:p w14:paraId="4228EE6B" w14:textId="77777777" w:rsidR="005828EB" w:rsidRDefault="005828EB">
      <w:pPr>
        <w:tabs>
          <w:tab w:val="clear" w:pos="5103"/>
        </w:tabs>
        <w:spacing w:after="0"/>
        <w:rPr>
          <w:b/>
        </w:rPr>
      </w:pPr>
      <w:r>
        <w:br w:type="page"/>
      </w:r>
    </w:p>
    <w:p w14:paraId="52D165E6" w14:textId="3ABB6545" w:rsidR="005E58D9" w:rsidRDefault="005E58D9" w:rsidP="00C80A48">
      <w:pPr>
        <w:pStyle w:val="berschrift1"/>
      </w:pPr>
      <w:bookmarkStart w:id="0" w:name="_Toc151475889"/>
      <w:r>
        <w:lastRenderedPageBreak/>
        <w:t>Einleitung</w:t>
      </w:r>
      <w:bookmarkEnd w:id="0"/>
    </w:p>
    <w:p w14:paraId="4340B542" w14:textId="6347C159" w:rsidR="00C80A48" w:rsidRDefault="00C80A48" w:rsidP="009A7F3F">
      <w:pPr>
        <w:pStyle w:val="berschrift2"/>
      </w:pPr>
      <w:bookmarkStart w:id="1" w:name="_Toc151475890"/>
      <w:r>
        <w:t>Inhalt und Zweck der Wegleitung</w:t>
      </w:r>
      <w:bookmarkEnd w:id="1"/>
    </w:p>
    <w:p w14:paraId="24768F9A" w14:textId="72B3F108" w:rsidR="00C80A48" w:rsidRPr="002B59FA" w:rsidRDefault="00C80A48" w:rsidP="00C80A48">
      <w:r w:rsidRPr="002B59FA">
        <w:t xml:space="preserve">Das Kantonale Sozialamt (KSA) stellt den Gemeinden die vorliegende Wegleitung zur Umsetzung des kommunalen Vollzugs des </w:t>
      </w:r>
      <w:r w:rsidR="00AC59CB">
        <w:t>Gesetzes über die Ausrichtung von Mietzinsbeiträgen</w:t>
      </w:r>
      <w:r w:rsidR="00AC59CB" w:rsidRPr="002B59FA">
        <w:t xml:space="preserve"> </w:t>
      </w:r>
      <w:r w:rsidR="00AC59CB">
        <w:t>(</w:t>
      </w:r>
      <w:r w:rsidRPr="002B59FA">
        <w:t>Mietzinsbeitragsgesetz</w:t>
      </w:r>
      <w:r w:rsidR="00AC59CB">
        <w:t xml:space="preserve">, MBG) </w:t>
      </w:r>
      <w:r w:rsidRPr="002B59FA">
        <w:t>und der dazugehörenden Verordnung</w:t>
      </w:r>
      <w:r w:rsidR="00AC59CB">
        <w:t xml:space="preserve"> über die Ausrichtung von Mietzinsbeiträgen</w:t>
      </w:r>
      <w:r w:rsidRPr="002B59FA">
        <w:t xml:space="preserve"> </w:t>
      </w:r>
      <w:r w:rsidR="00AC59CB">
        <w:t xml:space="preserve">(Vo MBG) </w:t>
      </w:r>
      <w:r w:rsidRPr="002B59FA">
        <w:t xml:space="preserve">zur Verfügung. Die Wegleitung bietet eine Übersicht zu allen Bestimmungen und kann als Interpretationshilfe für die Umsetzung der Rechtsgrundlagen auf Gemeindeebene dienen. Das Dokument dient zudem als Wegleitung zur Erstellung </w:t>
      </w:r>
      <w:r w:rsidR="00706467">
        <w:t>des</w:t>
      </w:r>
      <w:r w:rsidR="00706467" w:rsidRPr="002B59FA">
        <w:t xml:space="preserve"> </w:t>
      </w:r>
      <w:r w:rsidRPr="002B59FA">
        <w:t>Reglement</w:t>
      </w:r>
      <w:r w:rsidR="00706467">
        <w:t>s</w:t>
      </w:r>
      <w:r w:rsidRPr="002B59FA">
        <w:t xml:space="preserve"> </w:t>
      </w:r>
      <w:r w:rsidR="00706467">
        <w:t xml:space="preserve">über die Ausrichtung von Mietzinsbeiträgen </w:t>
      </w:r>
      <w:r w:rsidRPr="002B59FA">
        <w:t xml:space="preserve">durch die Gemeinden (siehe </w:t>
      </w:r>
      <w:r w:rsidR="002B59FA" w:rsidRPr="002B59FA">
        <w:t>in den relevanten Kapiteln den</w:t>
      </w:r>
      <w:r w:rsidRPr="002B59FA">
        <w:t xml:space="preserve"> «</w:t>
      </w:r>
      <w:r w:rsidR="002B59FA" w:rsidRPr="002B59FA">
        <w:rPr>
          <w:bCs/>
        </w:rPr>
        <w:t>Hinweis zur Regelung im Gemeindereglement</w:t>
      </w:r>
      <w:r w:rsidRPr="002B59FA">
        <w:t>»).</w:t>
      </w:r>
    </w:p>
    <w:p w14:paraId="736FCCA0" w14:textId="0EB81B5E" w:rsidR="0070159F" w:rsidRPr="00C80A48" w:rsidRDefault="0070159F" w:rsidP="00C80A48">
      <w:r>
        <w:t xml:space="preserve">Die Wegleitung entspricht dem Stand vom </w:t>
      </w:r>
      <w:r w:rsidR="008C3870">
        <w:t>27.06</w:t>
      </w:r>
      <w:r w:rsidRPr="005E3541">
        <w:t>.</w:t>
      </w:r>
      <w:r w:rsidR="00B053EC" w:rsidRPr="005E3541">
        <w:t>2023</w:t>
      </w:r>
      <w:r>
        <w:t xml:space="preserve"> und hat keinen Anspruch auf Aktualität darüber hinaus.</w:t>
      </w:r>
    </w:p>
    <w:p w14:paraId="230A137B" w14:textId="77777777" w:rsidR="00C80A48" w:rsidRDefault="00C80A48" w:rsidP="00942A9B">
      <w:pPr>
        <w:pStyle w:val="berschrift2"/>
        <w:ind w:left="709"/>
      </w:pPr>
      <w:bookmarkStart w:id="2" w:name="_Toc151475891"/>
      <w:r>
        <w:t>Grundlagen</w:t>
      </w:r>
      <w:bookmarkEnd w:id="2"/>
    </w:p>
    <w:p w14:paraId="37C35F54" w14:textId="07BD9BCA" w:rsidR="00D245E9" w:rsidRDefault="00D245E9" w:rsidP="00C80A48">
      <w:pPr>
        <w:pStyle w:val="Traktandum"/>
        <w:ind w:left="0"/>
      </w:pPr>
      <w:r>
        <w:t xml:space="preserve">Die Wegleitung stützt sich auf </w:t>
      </w:r>
      <w:r w:rsidR="002A0570">
        <w:t>die folgenden Grundlagen ab und ergänzt diese mit Beispi</w:t>
      </w:r>
      <w:r w:rsidR="00D803E5">
        <w:t>elen und Interpretationshilfen:</w:t>
      </w:r>
    </w:p>
    <w:p w14:paraId="549A2B2D" w14:textId="6BD9954F" w:rsidR="00C80A48" w:rsidRPr="005E3541" w:rsidRDefault="00164819" w:rsidP="0076368D">
      <w:pPr>
        <w:pStyle w:val="Traktandum"/>
        <w:numPr>
          <w:ilvl w:val="0"/>
          <w:numId w:val="23"/>
        </w:numPr>
      </w:pPr>
      <w:r w:rsidRPr="005E3541">
        <w:t>Gesetz über die Ausrichtung von Mietzinsbeiträgen (</w:t>
      </w:r>
      <w:hyperlink r:id="rId8" w:history="1">
        <w:r w:rsidRPr="005E3541">
          <w:rPr>
            <w:rStyle w:val="Hyperlink"/>
          </w:rPr>
          <w:t>SGS 844</w:t>
        </w:r>
      </w:hyperlink>
      <w:r w:rsidR="005E3541" w:rsidRPr="005E3541">
        <w:rPr>
          <w:rStyle w:val="Hyperlink"/>
          <w:color w:val="auto"/>
          <w:u w:val="none"/>
        </w:rPr>
        <w:t>/</w:t>
      </w:r>
      <w:r w:rsidR="005E3541" w:rsidRPr="005E3541">
        <w:t xml:space="preserve"> Vor Publika</w:t>
      </w:r>
      <w:r w:rsidR="005E3541">
        <w:t xml:space="preserve">tion </w:t>
      </w:r>
      <w:r w:rsidR="005E3541" w:rsidRPr="005E3541">
        <w:t xml:space="preserve">siehe </w:t>
      </w:r>
      <w:hyperlink r:id="rId9" w:history="1">
        <w:r w:rsidR="005E3541" w:rsidRPr="005E3541">
          <w:rPr>
            <w:rStyle w:val="Hyperlink"/>
          </w:rPr>
          <w:t>Webseite KSA</w:t>
        </w:r>
      </w:hyperlink>
      <w:r w:rsidRPr="005E3541">
        <w:t>)</w:t>
      </w:r>
    </w:p>
    <w:p w14:paraId="397740DA" w14:textId="2A9F7072" w:rsidR="00C80A48" w:rsidRPr="005E3541" w:rsidRDefault="00C80A48" w:rsidP="0076368D">
      <w:pPr>
        <w:pStyle w:val="Traktandum"/>
        <w:numPr>
          <w:ilvl w:val="0"/>
          <w:numId w:val="23"/>
        </w:numPr>
      </w:pPr>
      <w:r w:rsidRPr="005E3541">
        <w:t>Verordnung</w:t>
      </w:r>
      <w:r w:rsidR="00164819" w:rsidRPr="005E3541">
        <w:t xml:space="preserve"> über die Ausrichtung von Mietzinsbeiträgen (SGS 844.11)</w:t>
      </w:r>
      <w:r w:rsidR="005E3541">
        <w:t>/</w:t>
      </w:r>
      <w:r w:rsidR="005E3541" w:rsidRPr="005E3541">
        <w:t xml:space="preserve"> Vor Publika</w:t>
      </w:r>
      <w:r w:rsidR="005E3541">
        <w:t xml:space="preserve">tion </w:t>
      </w:r>
      <w:r w:rsidR="005E3541" w:rsidRPr="005E3541">
        <w:t xml:space="preserve">siehe </w:t>
      </w:r>
      <w:hyperlink r:id="rId10" w:history="1">
        <w:r w:rsidR="005E3541" w:rsidRPr="005E3541">
          <w:rPr>
            <w:rStyle w:val="Hyperlink"/>
          </w:rPr>
          <w:t>Webseite KSA</w:t>
        </w:r>
      </w:hyperlink>
      <w:r w:rsidR="005E3541" w:rsidRPr="005E3541">
        <w:t>)</w:t>
      </w:r>
    </w:p>
    <w:p w14:paraId="2EFFCD6D" w14:textId="499281EB" w:rsidR="00C80A48" w:rsidRDefault="00AC4866" w:rsidP="0076368D">
      <w:pPr>
        <w:pStyle w:val="Traktandum"/>
        <w:numPr>
          <w:ilvl w:val="0"/>
          <w:numId w:val="23"/>
        </w:numPr>
      </w:pPr>
      <w:hyperlink r:id="rId11" w:history="1">
        <w:r w:rsidR="00C80A48" w:rsidRPr="00164819">
          <w:rPr>
            <w:rStyle w:val="Hyperlink"/>
          </w:rPr>
          <w:t>Landratsvorlage</w:t>
        </w:r>
        <w:r w:rsidR="00164819" w:rsidRPr="00164819">
          <w:rPr>
            <w:rStyle w:val="Hyperlink"/>
          </w:rPr>
          <w:t xml:space="preserve"> </w:t>
        </w:r>
        <w:r w:rsidR="00063537">
          <w:rPr>
            <w:rStyle w:val="Hyperlink"/>
          </w:rPr>
          <w:t xml:space="preserve">2022/386 </w:t>
        </w:r>
        <w:r w:rsidR="00164819" w:rsidRPr="00164819">
          <w:rPr>
            <w:rStyle w:val="Hyperlink"/>
          </w:rPr>
          <w:t>vom 21. Juni 2022</w:t>
        </w:r>
      </w:hyperlink>
    </w:p>
    <w:p w14:paraId="37A659A6" w14:textId="13D96569" w:rsidR="00114E3A" w:rsidRDefault="00114E3A" w:rsidP="00942A9B">
      <w:pPr>
        <w:pStyle w:val="berschrift2"/>
        <w:ind w:left="709"/>
      </w:pPr>
      <w:bookmarkStart w:id="3" w:name="_Toc151475892"/>
      <w:r>
        <w:t>Lesehinweise</w:t>
      </w:r>
      <w:bookmarkEnd w:id="3"/>
    </w:p>
    <w:p w14:paraId="16141875" w14:textId="74362DC1" w:rsidR="00114E3A" w:rsidRDefault="00750207" w:rsidP="00C80A48">
      <w:pPr>
        <w:pStyle w:val="Traktandum"/>
        <w:ind w:left="0"/>
      </w:pPr>
      <w:r>
        <w:t>Die nachfolgenden Ausführungen</w:t>
      </w:r>
      <w:r w:rsidR="00283314">
        <w:t xml:space="preserve"> ab Teil </w:t>
      </w:r>
      <w:r w:rsidR="00283314">
        <w:fldChar w:fldCharType="begin"/>
      </w:r>
      <w:r w:rsidR="00283314">
        <w:instrText xml:space="preserve"> REF _Ref127872647 \r \h </w:instrText>
      </w:r>
      <w:r w:rsidR="00283314">
        <w:fldChar w:fldCharType="separate"/>
      </w:r>
      <w:r w:rsidR="0077739D">
        <w:t>3</w:t>
      </w:r>
      <w:r w:rsidR="00283314">
        <w:fldChar w:fldCharType="end"/>
      </w:r>
      <w:r>
        <w:t xml:space="preserve"> orientieren sich am Aufbau von Gesetz und Verordnung. J</w:t>
      </w:r>
      <w:r w:rsidR="00CF5DD5">
        <w:t>edem</w:t>
      </w:r>
      <w:r>
        <w:t xml:space="preserve"> Abschnitt entnehmen Sie die relevanten Gesetzes- und Verordnungsparagrafen.</w:t>
      </w:r>
      <w:r w:rsidR="00DA0FA2">
        <w:t xml:space="preserve"> Im Anhang finden sich ein Glossar und Berechnungsbeispiele.</w:t>
      </w:r>
    </w:p>
    <w:p w14:paraId="0FF4305F" w14:textId="418971BD" w:rsidR="00DA0FA2" w:rsidRPr="00BD65A2" w:rsidRDefault="00BD65A2" w:rsidP="00BD65A2">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bCs/>
        </w:rPr>
      </w:pPr>
      <w:r w:rsidRPr="00BD65A2">
        <w:rPr>
          <w:bCs/>
        </w:rPr>
        <w:t>Die durch die Gemeinde im Gemeindereglement zu regelnden Bestimmungen sind grau schraffiert.</w:t>
      </w:r>
    </w:p>
    <w:p w14:paraId="2678AD75" w14:textId="77777777" w:rsidR="0070159F" w:rsidRDefault="0070159F" w:rsidP="00942A9B">
      <w:pPr>
        <w:pStyle w:val="berschrift2"/>
        <w:ind w:left="709"/>
      </w:pPr>
      <w:bookmarkStart w:id="4" w:name="_Toc151475893"/>
      <w:r>
        <w:t>Weitere Hilfestellungen für den Vollzug</w:t>
      </w:r>
      <w:bookmarkEnd w:id="4"/>
    </w:p>
    <w:p w14:paraId="7EA339B1" w14:textId="77777777" w:rsidR="0070159F" w:rsidRDefault="0070159F" w:rsidP="0070159F">
      <w:pPr>
        <w:pStyle w:val="Traktandum"/>
        <w:ind w:left="0"/>
      </w:pPr>
      <w:r>
        <w:t xml:space="preserve">Das KSA stellt den Gemeinden die folgenden Hilfsmittel zur Verfügung: </w:t>
      </w:r>
    </w:p>
    <w:p w14:paraId="56E9337C" w14:textId="77777777" w:rsidR="0070159F" w:rsidRDefault="0070159F" w:rsidP="00DF773E">
      <w:pPr>
        <w:pStyle w:val="Traktandum"/>
        <w:numPr>
          <w:ilvl w:val="0"/>
          <w:numId w:val="12"/>
        </w:numPr>
      </w:pPr>
      <w:r>
        <w:t>Musterreglement</w:t>
      </w:r>
    </w:p>
    <w:p w14:paraId="4B69035F" w14:textId="77777777" w:rsidR="0070159F" w:rsidRDefault="0070159F" w:rsidP="00DF773E">
      <w:pPr>
        <w:pStyle w:val="Traktandum"/>
        <w:numPr>
          <w:ilvl w:val="0"/>
          <w:numId w:val="12"/>
        </w:numPr>
      </w:pPr>
      <w:r>
        <w:t>Musterantragsformular</w:t>
      </w:r>
    </w:p>
    <w:p w14:paraId="16B33FDC" w14:textId="3AE0D625" w:rsidR="0070159F" w:rsidRDefault="0070159F" w:rsidP="00DF773E">
      <w:pPr>
        <w:pStyle w:val="Traktandum"/>
        <w:numPr>
          <w:ilvl w:val="0"/>
          <w:numId w:val="12"/>
        </w:numPr>
      </w:pPr>
      <w:r>
        <w:t>Mustermerkblatt zur Information der Einwohnerinnen und Einwohner</w:t>
      </w:r>
    </w:p>
    <w:p w14:paraId="5E842E4B" w14:textId="065E83B6" w:rsidR="005D6255" w:rsidRDefault="005D6255" w:rsidP="00DF773E">
      <w:pPr>
        <w:pStyle w:val="Traktandum"/>
        <w:numPr>
          <w:ilvl w:val="0"/>
          <w:numId w:val="12"/>
        </w:numPr>
      </w:pPr>
      <w:r>
        <w:t>Mustermerkblatt mit Rechten und Pflichten für die Beziehenden</w:t>
      </w:r>
    </w:p>
    <w:p w14:paraId="75A5A76C" w14:textId="77777777" w:rsidR="0070159F" w:rsidRDefault="0070159F" w:rsidP="00DF773E">
      <w:pPr>
        <w:pStyle w:val="Traktandum"/>
        <w:numPr>
          <w:ilvl w:val="0"/>
          <w:numId w:val="12"/>
        </w:numPr>
      </w:pPr>
      <w:r>
        <w:t>Musterverfügung</w:t>
      </w:r>
    </w:p>
    <w:p w14:paraId="6F14C587" w14:textId="74A1C3F3" w:rsidR="0070159F" w:rsidRDefault="0070159F" w:rsidP="00DF773E">
      <w:pPr>
        <w:pStyle w:val="Traktandum"/>
        <w:numPr>
          <w:ilvl w:val="0"/>
          <w:numId w:val="12"/>
        </w:numPr>
      </w:pPr>
      <w:r>
        <w:t>Berechnungstool</w:t>
      </w:r>
    </w:p>
    <w:p w14:paraId="5556F523" w14:textId="1F414CDD" w:rsidR="0012420F" w:rsidRDefault="0070159F" w:rsidP="0070159F">
      <w:pPr>
        <w:pStyle w:val="Traktandum"/>
        <w:ind w:left="0"/>
        <w:rPr>
          <w:bCs/>
        </w:rPr>
      </w:pPr>
      <w:r>
        <w:t xml:space="preserve">Die </w:t>
      </w:r>
      <w:r w:rsidR="001F2A79">
        <w:t xml:space="preserve">Hilfsmittel </w:t>
      </w:r>
      <w:r>
        <w:t xml:space="preserve">werden den Gemeinden spätestens im Herbst 2023 zugestellt. Die Gemeinden sind nicht verpflichtet </w:t>
      </w:r>
      <w:r w:rsidRPr="00BD65A2">
        <w:rPr>
          <w:bCs/>
        </w:rPr>
        <w:t xml:space="preserve">diese </w:t>
      </w:r>
      <w:r w:rsidR="001F2A79">
        <w:rPr>
          <w:bCs/>
        </w:rPr>
        <w:t>Unterlagen</w:t>
      </w:r>
      <w:r w:rsidR="001F2A79" w:rsidRPr="00BD65A2">
        <w:rPr>
          <w:bCs/>
        </w:rPr>
        <w:t xml:space="preserve"> </w:t>
      </w:r>
      <w:r w:rsidRPr="00BD65A2">
        <w:rPr>
          <w:bCs/>
        </w:rPr>
        <w:t>zu verwenden.</w:t>
      </w:r>
    </w:p>
    <w:p w14:paraId="272E6A8A" w14:textId="22CDAB40" w:rsidR="0012420F" w:rsidRDefault="0012420F" w:rsidP="00F105CC">
      <w:pPr>
        <w:pStyle w:val="berschrift1"/>
      </w:pPr>
      <w:bookmarkStart w:id="5" w:name="_Toc151475894"/>
      <w:r>
        <w:lastRenderedPageBreak/>
        <w:t>Erlass und Genehmigung der Gemein</w:t>
      </w:r>
      <w:r w:rsidR="00B54EB1">
        <w:t>d</w:t>
      </w:r>
      <w:r>
        <w:t>ereglemente</w:t>
      </w:r>
      <w:bookmarkEnd w:id="5"/>
    </w:p>
    <w:p w14:paraId="0B939503" w14:textId="09C557BD" w:rsidR="00B54EB1" w:rsidRDefault="00B54EB1" w:rsidP="00F105CC">
      <w:pPr>
        <w:pStyle w:val="berschrift2"/>
      </w:pPr>
      <w:bookmarkStart w:id="6" w:name="_Toc151475895"/>
      <w:r>
        <w:t>Grundlage</w:t>
      </w:r>
      <w:bookmarkEnd w:id="6"/>
    </w:p>
    <w:p w14:paraId="1B34A3C8" w14:textId="5331A798" w:rsidR="0012420F" w:rsidRDefault="00B54EB1" w:rsidP="00F105CC">
      <w:r>
        <w:t xml:space="preserve">Bereits bestehende Reglemente verlieren mit der Totalrevision des MBG per 1. Januar 2024 ihre Gültigkeit. Gleichzeitig haben nur Gemeinden, die über ein aktuelles Reglement über die Ausrichtung von Mietzinsbeiträgen verfügen, Anspruch auf die Kantonsbeteiligung an den ausgerichteten Mietzinsbeiträgen (siehe § 14 Abs. 5 MBG und Kapitel </w:t>
      </w:r>
      <w:r>
        <w:fldChar w:fldCharType="begin"/>
      </w:r>
      <w:r>
        <w:instrText xml:space="preserve"> REF _Ref135042338 \r \h </w:instrText>
      </w:r>
      <w:r>
        <w:fldChar w:fldCharType="separate"/>
      </w:r>
      <w:r w:rsidR="0077739D">
        <w:t>8.4</w:t>
      </w:r>
      <w:r>
        <w:fldChar w:fldCharType="end"/>
      </w:r>
      <w:r>
        <w:t>). Die Gemeinden sollten entsprechend nach Möglichkeit per 1.1.2024 über ein gültiges Reglement verfügen</w:t>
      </w:r>
      <w:r w:rsidR="001552CB">
        <w:t xml:space="preserve"> (siehe Kapitel </w:t>
      </w:r>
      <w:r w:rsidR="001552CB">
        <w:fldChar w:fldCharType="begin"/>
      </w:r>
      <w:r w:rsidR="001552CB">
        <w:instrText xml:space="preserve"> REF _Ref135117327 \r \h </w:instrText>
      </w:r>
      <w:r w:rsidR="001552CB">
        <w:fldChar w:fldCharType="separate"/>
      </w:r>
      <w:r w:rsidR="0077739D">
        <w:t>2.4</w:t>
      </w:r>
      <w:r w:rsidR="001552CB">
        <w:fldChar w:fldCharType="end"/>
      </w:r>
      <w:r w:rsidR="001552CB">
        <w:t>)</w:t>
      </w:r>
      <w:r>
        <w:t>. Das KSA stellt den Gemeinden hierfür ein Musterreglement sowie die vorliegende Wegleitung zur Verfügung.</w:t>
      </w:r>
    </w:p>
    <w:p w14:paraId="2D4E3609" w14:textId="30B109C0" w:rsidR="00B54EB1" w:rsidRDefault="00B54EB1" w:rsidP="00F105CC">
      <w:pPr>
        <w:pStyle w:val="berschrift2"/>
      </w:pPr>
      <w:bookmarkStart w:id="7" w:name="_Toc151475896"/>
      <w:r>
        <w:t>Inhalt</w:t>
      </w:r>
      <w:bookmarkEnd w:id="7"/>
    </w:p>
    <w:p w14:paraId="15DD8F8B" w14:textId="22458B46" w:rsidR="00B54EB1" w:rsidRDefault="00B54EB1" w:rsidP="00F105CC">
      <w:r>
        <w:t>Folgende Punkte</w:t>
      </w:r>
      <w:r w:rsidR="009A17DF">
        <w:t xml:space="preserve"> sind im Reglement festzulegen:</w:t>
      </w:r>
    </w:p>
    <w:p w14:paraId="0D55215A" w14:textId="4CED7C3F" w:rsidR="00B54EB1" w:rsidRDefault="00B54EB1" w:rsidP="00F105CC">
      <w:pPr>
        <w:pStyle w:val="Listenabsatz"/>
        <w:numPr>
          <w:ilvl w:val="0"/>
          <w:numId w:val="12"/>
        </w:numPr>
      </w:pPr>
      <w:r>
        <w:t>Präzisierung von Mietzinshöchstbetrag, allgemeiner Lebensbedarf als Einkommensgrenze, Vermögensgrenze</w:t>
      </w:r>
      <w:r w:rsidR="009A17DF">
        <w:t>, angemessene Jahresnettomiete und allgemeiner</w:t>
      </w:r>
      <w:r>
        <w:t xml:space="preserve"> Lebensbedarf als anerkannte Ausgabe (siehe </w:t>
      </w:r>
      <w:r w:rsidR="009A17DF">
        <w:t>§</w:t>
      </w:r>
      <w:r w:rsidR="00AC59CB">
        <w:t xml:space="preserve"> </w:t>
      </w:r>
      <w:r w:rsidR="009A17DF">
        <w:t xml:space="preserve">1, </w:t>
      </w:r>
      <w:r>
        <w:t>§</w:t>
      </w:r>
      <w:r w:rsidR="00AC59CB">
        <w:t xml:space="preserve"> </w:t>
      </w:r>
      <w:r w:rsidR="009A17DF">
        <w:t>2, §</w:t>
      </w:r>
      <w:r w:rsidR="00AC59CB">
        <w:t xml:space="preserve"> </w:t>
      </w:r>
      <w:r>
        <w:t xml:space="preserve">3 </w:t>
      </w:r>
      <w:r w:rsidR="009A17DF">
        <w:t>und §</w:t>
      </w:r>
      <w:r w:rsidR="00AC59CB">
        <w:t xml:space="preserve"> </w:t>
      </w:r>
      <w:r w:rsidR="009A17DF">
        <w:t xml:space="preserve">5 </w:t>
      </w:r>
      <w:r>
        <w:t>Vo MBG)</w:t>
      </w:r>
    </w:p>
    <w:p w14:paraId="2899C55B" w14:textId="5FF08F25" w:rsidR="00B54EB1" w:rsidRDefault="00B54EB1" w:rsidP="00F105CC">
      <w:pPr>
        <w:pStyle w:val="Listenabsatz"/>
        <w:numPr>
          <w:ilvl w:val="0"/>
          <w:numId w:val="12"/>
        </w:numPr>
      </w:pPr>
      <w:r>
        <w:t>Definition der Vollzugsbestimmungen (u.a. zuständige Stelle)</w:t>
      </w:r>
    </w:p>
    <w:p w14:paraId="2D3AE4BD" w14:textId="3ED586A4" w:rsidR="00B54EB1" w:rsidRDefault="00B54EB1" w:rsidP="00F105CC">
      <w:pPr>
        <w:pStyle w:val="Listenabsatz"/>
        <w:numPr>
          <w:ilvl w:val="0"/>
          <w:numId w:val="12"/>
        </w:numPr>
      </w:pPr>
      <w:r>
        <w:t>Inkraftsetzungstermin</w:t>
      </w:r>
    </w:p>
    <w:p w14:paraId="209B1D72" w14:textId="7E613A2B" w:rsidR="008D103D" w:rsidRDefault="008D103D" w:rsidP="00F105CC">
      <w:pPr>
        <w:pStyle w:val="berschrift2"/>
      </w:pPr>
      <w:bookmarkStart w:id="8" w:name="_Toc151475897"/>
      <w:r>
        <w:t>Genehmigungsprozess</w:t>
      </w:r>
      <w:bookmarkEnd w:id="8"/>
    </w:p>
    <w:p w14:paraId="4011C673" w14:textId="662A201B" w:rsidR="008D103D" w:rsidRDefault="008D103D" w:rsidP="00F105CC">
      <w:pPr>
        <w:pStyle w:val="berschrift3"/>
      </w:pPr>
      <w:bookmarkStart w:id="9" w:name="_Toc151475898"/>
      <w:r>
        <w:t>Vorprüfung (fakultativ)</w:t>
      </w:r>
      <w:bookmarkEnd w:id="9"/>
    </w:p>
    <w:p w14:paraId="79C22369" w14:textId="14CF760D" w:rsidR="008D103D" w:rsidRDefault="008D103D">
      <w:pPr>
        <w:pStyle w:val="Traktandum"/>
        <w:ind w:left="0"/>
      </w:pPr>
      <w:r>
        <w:t xml:space="preserve">Die Gemeinden können auf Wunsch das Reglement durch das KSA vorprüfen lassen, bevor sie es der Gemeindeversammlung zum Beschluss vorlegen. Die Vorprüfung durch das KSA nimmt ca. vier </w:t>
      </w:r>
      <w:r w:rsidR="0007798A">
        <w:t xml:space="preserve">bis sechs </w:t>
      </w:r>
      <w:r>
        <w:t xml:space="preserve">Arbeitswochen in Anspruch. </w:t>
      </w:r>
      <w:r w:rsidR="00CA5621">
        <w:t>Die</w:t>
      </w:r>
      <w:r>
        <w:t xml:space="preserve"> Gemeinden</w:t>
      </w:r>
      <w:r w:rsidR="00CA5621">
        <w:t xml:space="preserve"> kommen</w:t>
      </w:r>
      <w:r>
        <w:t xml:space="preserve"> frühzeitig auf das KSA zu, um die Vorprüfung zeitlich abzustimmen.</w:t>
      </w:r>
    </w:p>
    <w:p w14:paraId="0492F2BF" w14:textId="3F32EACC" w:rsidR="008D103D" w:rsidRDefault="008D103D" w:rsidP="00F105CC">
      <w:pPr>
        <w:pStyle w:val="berschrift3"/>
      </w:pPr>
      <w:bookmarkStart w:id="10" w:name="_Toc151475899"/>
      <w:r>
        <w:t>Genehmigung</w:t>
      </w:r>
      <w:bookmarkEnd w:id="10"/>
    </w:p>
    <w:p w14:paraId="1F665ED1" w14:textId="5C70D074" w:rsidR="008D103D" w:rsidRPr="00865255" w:rsidRDefault="008D103D">
      <w:pPr>
        <w:pStyle w:val="Traktandum"/>
        <w:ind w:left="0"/>
      </w:pPr>
      <w:r>
        <w:t xml:space="preserve">Die Genehmigung der Reglemente erfolgt durch die Finanz- und Kirchendirektion. Das KSA übernimmt die Koordination gegenüber der </w:t>
      </w:r>
      <w:r w:rsidRPr="00F105CC">
        <w:t xml:space="preserve">Direktion. Bei keinen </w:t>
      </w:r>
      <w:r w:rsidR="004E2A6E" w:rsidRPr="00F105CC">
        <w:t>Beanstandungen seitens KSA</w:t>
      </w:r>
      <w:r w:rsidRPr="00F105CC">
        <w:t xml:space="preserve"> erfolgt die Genehmigung in ca. </w:t>
      </w:r>
      <w:r w:rsidR="0008296E">
        <w:t>1 bis 2 Monate</w:t>
      </w:r>
      <w:r w:rsidRPr="00F105CC">
        <w:t xml:space="preserve">. </w:t>
      </w:r>
      <w:r w:rsidR="00F105CC" w:rsidRPr="00F105CC">
        <w:t>Ist bereits eine</w:t>
      </w:r>
      <w:r w:rsidR="004E2A6E" w:rsidRPr="00F105CC">
        <w:t xml:space="preserve"> Vorprüfung </w:t>
      </w:r>
      <w:r w:rsidR="00F105CC" w:rsidRPr="00F105CC">
        <w:t xml:space="preserve">durch das KSA erfolgt, </w:t>
      </w:r>
      <w:r w:rsidR="004E2A6E" w:rsidRPr="00F105CC">
        <w:t xml:space="preserve">verkürzt sich die Frist gegebenenfalls. </w:t>
      </w:r>
      <w:r w:rsidRPr="00F105CC">
        <w:t>Nach</w:t>
      </w:r>
      <w:r>
        <w:t xml:space="preserve"> </w:t>
      </w:r>
      <w:r w:rsidR="00AC59CB">
        <w:t>Möglichkeit</w:t>
      </w:r>
      <w:r>
        <w:t xml:space="preserve"> kommen die Gemeinden frühzeitig auf das KSA zu, um die Genehmigung zeitlich abzustimmen.</w:t>
      </w:r>
    </w:p>
    <w:p w14:paraId="2D742D55" w14:textId="0D7B07FD" w:rsidR="008D103D" w:rsidRDefault="00F105CC" w:rsidP="00F105CC">
      <w:pPr>
        <w:pStyle w:val="berschrift3"/>
      </w:pPr>
      <w:bookmarkStart w:id="11" w:name="_Toc151475900"/>
      <w:r>
        <w:t>Kontakt KSA</w:t>
      </w:r>
      <w:bookmarkEnd w:id="11"/>
    </w:p>
    <w:p w14:paraId="26756D2F" w14:textId="221A6500" w:rsidR="004B5B07" w:rsidRDefault="00F105CC">
      <w:pPr>
        <w:pStyle w:val="Traktandum"/>
        <w:ind w:left="0"/>
      </w:pPr>
      <w:r>
        <w:t xml:space="preserve">Zu prüfende Reglemente und sonstige Anliegen rund um das Mietzinsbeitragsgesetz senden die Gemeinden an die folgende </w:t>
      </w:r>
      <w:r w:rsidR="008D103D">
        <w:t>Kontaktadresse</w:t>
      </w:r>
      <w:r>
        <w:t xml:space="preserve"> des KSA</w:t>
      </w:r>
      <w:r w:rsidR="008D103D">
        <w:t>:</w:t>
      </w:r>
    </w:p>
    <w:p w14:paraId="6EE4D4E4" w14:textId="3E1785CC" w:rsidR="008D103D" w:rsidRDefault="00AC4866">
      <w:pPr>
        <w:pStyle w:val="Traktandum"/>
        <w:ind w:left="0"/>
      </w:pPr>
      <w:hyperlink r:id="rId12" w:history="1">
        <w:r w:rsidR="0085689B">
          <w:rPr>
            <w:rStyle w:val="Hyperlink"/>
          </w:rPr>
          <w:t>ksa.mietzinsbeitrag@bl.ch</w:t>
        </w:r>
      </w:hyperlink>
    </w:p>
    <w:p w14:paraId="41761C3F" w14:textId="77777777" w:rsidR="00865255" w:rsidRDefault="00865255" w:rsidP="00F105CC">
      <w:pPr>
        <w:pStyle w:val="berschrift2"/>
      </w:pPr>
      <w:bookmarkStart w:id="12" w:name="_Ref135117327"/>
      <w:bookmarkStart w:id="13" w:name="_Toc151475901"/>
      <w:r>
        <w:t>Inkrafttreten</w:t>
      </w:r>
      <w:bookmarkEnd w:id="12"/>
      <w:bookmarkEnd w:id="13"/>
    </w:p>
    <w:p w14:paraId="6B2673A7" w14:textId="77777777" w:rsidR="00865255" w:rsidRPr="002C5516" w:rsidRDefault="00865255" w:rsidP="00865255">
      <w:r>
        <w:t xml:space="preserve">Gesetz und Verordnung treten per 1.1.2024 in Kraft. Ab diesem Zeitpunkt gelten die Minimalbestimmungen gemäss Gesetz und Verordnung. Bereits bestehende Reglemente verlieren mit der Totalrevision des MBG per 1. Januar 2024 ihre Gültigkeit. </w:t>
      </w:r>
    </w:p>
    <w:p w14:paraId="3D2FB48C" w14:textId="77777777" w:rsidR="00865255" w:rsidRPr="009E1F2F" w:rsidRDefault="00865255" w:rsidP="00865255">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bCs/>
          <w:i/>
        </w:rPr>
      </w:pPr>
      <w:r w:rsidRPr="009E1F2F">
        <w:rPr>
          <w:bCs/>
          <w:i/>
        </w:rPr>
        <w:t>Hinweis</w:t>
      </w:r>
      <w:r w:rsidRPr="009E1F2F">
        <w:rPr>
          <w:i/>
        </w:rPr>
        <w:t xml:space="preserve"> zur Regelung im Gemeindereglement</w:t>
      </w:r>
      <w:r>
        <w:rPr>
          <w:i/>
        </w:rPr>
        <w:t>:</w:t>
      </w:r>
    </w:p>
    <w:p w14:paraId="6A2E2178" w14:textId="6F76A067" w:rsidR="00865255" w:rsidRPr="00F159C1" w:rsidRDefault="006F144A" w:rsidP="00865255">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u w:val="single"/>
        </w:rPr>
      </w:pPr>
      <w:r>
        <w:rPr>
          <w:u w:val="single"/>
        </w:rPr>
        <w:t>Inkrafttreten des Reglements</w:t>
      </w:r>
    </w:p>
    <w:p w14:paraId="42ACC79A" w14:textId="77777777" w:rsidR="00311B67" w:rsidRDefault="00865255" w:rsidP="00F105CC">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rFonts w:cs="Arial"/>
          <w:color w:val="000000"/>
        </w:rPr>
      </w:pPr>
      <w:r>
        <w:t>Die Gemeinde definiert den Termin, an welchem das Reglement in Kraft tritt. Dies ist frühestens am 1.1.2024 möglich. Die Gemeinde kann das Reglement während einer Übergangszeit auch rückwirkend in Kraft setzen. Bedingung dafür ist, dass</w:t>
      </w:r>
      <w:r>
        <w:rPr>
          <w:rFonts w:cs="Arial"/>
          <w:color w:val="000000"/>
        </w:rPr>
        <w:t xml:space="preserve"> der Reglementsbeschluss durch das zuständige Gemeindeorgan per 30. Juni 2024 erfolgt ist (§ 8 Vo MBG).</w:t>
      </w:r>
    </w:p>
    <w:p w14:paraId="48ADEF78" w14:textId="120A0340" w:rsidR="00865255" w:rsidRDefault="00E00914" w:rsidP="00F105CC">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rFonts w:cs="Arial"/>
          <w:color w:val="000000"/>
        </w:rPr>
      </w:pPr>
      <w:r>
        <w:rPr>
          <w:rFonts w:cs="Arial"/>
          <w:color w:val="000000"/>
        </w:rPr>
        <w:lastRenderedPageBreak/>
        <w:t>Bis zum Zeitpunkt, in welchem ein gültiges Reglement vorliegt, gelten die Minimalbestimmungen gemäss Gesetz und Verordnung.</w:t>
      </w:r>
    </w:p>
    <w:p w14:paraId="252B7609" w14:textId="5339581D" w:rsidR="000F7EA0" w:rsidRPr="00586B90" w:rsidRDefault="0040575D" w:rsidP="00F105CC">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pPr>
      <w:r w:rsidRPr="00586B90">
        <w:rPr>
          <w:rFonts w:cs="Arial"/>
          <w:color w:val="000000"/>
          <w:u w:val="single"/>
        </w:rPr>
        <w:t>Implikationen für die Kantonsbeteiligung</w:t>
      </w:r>
      <w:r>
        <w:rPr>
          <w:rFonts w:cs="Arial"/>
          <w:color w:val="000000"/>
        </w:rPr>
        <w:t xml:space="preserve">: </w:t>
      </w:r>
      <w:r>
        <w:t xml:space="preserve">Ab dem Inkraftsetzungstermin ihres Reglements hat eine Gemeinde Anspruch auf den Kantonsbeitrag. Sie kann entsprechend alle ab diesem Datum verfügten Beiträge mit dem Kanton abrechnen (§ 14 Abs. 5 MBG und Kapitel </w:t>
      </w:r>
      <w:r>
        <w:fldChar w:fldCharType="begin"/>
      </w:r>
      <w:r>
        <w:instrText xml:space="preserve"> REF _Ref135042338 \r \h </w:instrText>
      </w:r>
      <w:r>
        <w:fldChar w:fldCharType="separate"/>
      </w:r>
      <w:r w:rsidR="0077739D">
        <w:t>8.4</w:t>
      </w:r>
      <w:r>
        <w:fldChar w:fldCharType="end"/>
      </w:r>
      <w:r>
        <w:t>).</w:t>
      </w:r>
    </w:p>
    <w:p w14:paraId="6D4B5764" w14:textId="4FFC7764" w:rsidR="00BA4ACF" w:rsidRPr="00BA4ACF" w:rsidRDefault="00BA4ACF" w:rsidP="00BA4ACF">
      <w:pPr>
        <w:pStyle w:val="berschrift1"/>
      </w:pPr>
      <w:bookmarkStart w:id="14" w:name="_Toc135043312"/>
      <w:bookmarkStart w:id="15" w:name="_Toc135043492"/>
      <w:bookmarkStart w:id="16" w:name="_Ref127872647"/>
      <w:bookmarkStart w:id="17" w:name="_Toc151475902"/>
      <w:bookmarkEnd w:id="14"/>
      <w:bookmarkEnd w:id="15"/>
      <w:r w:rsidRPr="00F819BC">
        <w:t>Allgemeine Bestimmungen</w:t>
      </w:r>
      <w:bookmarkEnd w:id="16"/>
      <w:bookmarkEnd w:id="17"/>
    </w:p>
    <w:p w14:paraId="081393D1" w14:textId="77777777" w:rsidR="00BA4ACF" w:rsidRPr="00F819BC" w:rsidRDefault="00BA4ACF" w:rsidP="00F339A8">
      <w:pPr>
        <w:pStyle w:val="berschrift2"/>
        <w:ind w:left="709"/>
      </w:pPr>
      <w:bookmarkStart w:id="18" w:name="_Toc151475903"/>
      <w:r w:rsidRPr="001C1054">
        <w:rPr>
          <w:bCs/>
        </w:rPr>
        <w:t>Allgemeine</w:t>
      </w:r>
      <w:r w:rsidRPr="00F819BC">
        <w:t xml:space="preserve"> Voraussetzung (§ 2 MBG)</w:t>
      </w:r>
      <w:bookmarkEnd w:id="18"/>
    </w:p>
    <w:p w14:paraId="44134B08" w14:textId="77777777" w:rsidR="004E7F77" w:rsidRDefault="003E4858" w:rsidP="004E7F77">
      <w:pPr>
        <w:pStyle w:val="berschrift3"/>
      </w:pPr>
      <w:bookmarkStart w:id="19" w:name="_Toc151475904"/>
      <w:r w:rsidRPr="003E4858">
        <w:t>Wahrung der Subsidiarität</w:t>
      </w:r>
      <w:bookmarkEnd w:id="19"/>
    </w:p>
    <w:p w14:paraId="721A7D2F" w14:textId="63D7129E" w:rsidR="00BA4ACF" w:rsidRPr="003E4858" w:rsidRDefault="003E4858" w:rsidP="003E4858">
      <w:pPr>
        <w:rPr>
          <w:bCs/>
        </w:rPr>
      </w:pPr>
      <w:r>
        <w:rPr>
          <w:bCs/>
        </w:rPr>
        <w:t>Die Ausrichtung von Mietzinsbeiträgen erfolgt subsidiär zu anderen Leistungen Dritter</w:t>
      </w:r>
      <w:r w:rsidRPr="00870738">
        <w:rPr>
          <w:bCs/>
        </w:rPr>
        <w:t>. Entsprechend müssen alle anderen Leistungen (wie etwa</w:t>
      </w:r>
      <w:r>
        <w:rPr>
          <w:bCs/>
        </w:rPr>
        <w:t xml:space="preserve"> IV, EL,</w:t>
      </w:r>
      <w:r w:rsidRPr="00870738">
        <w:rPr>
          <w:bCs/>
        </w:rPr>
        <w:t xml:space="preserve"> ALV, IPV, ALBV etc.) geltend gemacht worden sein.</w:t>
      </w:r>
      <w:r>
        <w:rPr>
          <w:bCs/>
        </w:rPr>
        <w:t xml:space="preserve"> </w:t>
      </w:r>
      <w:r w:rsidR="00CA5621">
        <w:rPr>
          <w:bCs/>
        </w:rPr>
        <w:t xml:space="preserve">Die Mietzinsbeiträge sind jedoch der Sozialhilfe vorgelagert resp. ein gemeinsamer Bezug ist ausgeschlossen. </w:t>
      </w:r>
    </w:p>
    <w:p w14:paraId="702DDB00" w14:textId="77777777" w:rsidR="004E7F77" w:rsidRDefault="003E4858" w:rsidP="004E7F77">
      <w:pPr>
        <w:pStyle w:val="berschrift3"/>
      </w:pPr>
      <w:bookmarkStart w:id="20" w:name="_Toc151475905"/>
      <w:r w:rsidRPr="003E4858">
        <w:t>Selbstbewohnter</w:t>
      </w:r>
      <w:r w:rsidR="00FD1C27">
        <w:t xml:space="preserve">, vertraglich geregelter </w:t>
      </w:r>
      <w:r w:rsidR="004E7F77">
        <w:t>Wohnraum</w:t>
      </w:r>
      <w:bookmarkEnd w:id="20"/>
    </w:p>
    <w:p w14:paraId="50115C67" w14:textId="3F63BBF1" w:rsidR="00BA4ACF" w:rsidRPr="00923E46" w:rsidRDefault="00BA4ACF" w:rsidP="00923E46">
      <w:pPr>
        <w:tabs>
          <w:tab w:val="clear" w:pos="5103"/>
          <w:tab w:val="left" w:pos="142"/>
        </w:tabs>
        <w:spacing w:before="120" w:after="0"/>
        <w:jc w:val="both"/>
        <w:rPr>
          <w:rFonts w:cs="Arial"/>
        </w:rPr>
      </w:pPr>
      <w:r w:rsidRPr="00923E46">
        <w:rPr>
          <w:rFonts w:cs="Arial"/>
        </w:rPr>
        <w:t>Mietzinsbeiträge können nur an selbstbewohnten und vertraglich geregelten Mietraum ausgerichtet werden.</w:t>
      </w:r>
    </w:p>
    <w:p w14:paraId="4512BED9" w14:textId="77777777" w:rsidR="00DF773E" w:rsidRPr="00F819BC" w:rsidRDefault="00DF773E" w:rsidP="00DF773E">
      <w:pPr>
        <w:pStyle w:val="berschrift1"/>
      </w:pPr>
      <w:bookmarkStart w:id="21" w:name="_Toc151475906"/>
      <w:r w:rsidRPr="00F819BC">
        <w:t>Anspruchsvoraussetzungen</w:t>
      </w:r>
      <w:bookmarkEnd w:id="21"/>
    </w:p>
    <w:p w14:paraId="7B306617" w14:textId="4A63C49B" w:rsidR="00DF773E" w:rsidRPr="00F819BC" w:rsidRDefault="00DF773E" w:rsidP="0033706F">
      <w:pPr>
        <w:pStyle w:val="berschrift2"/>
        <w:ind w:left="709"/>
        <w:rPr>
          <w:lang w:eastAsia="de-CH"/>
        </w:rPr>
      </w:pPr>
      <w:bookmarkStart w:id="22" w:name="_Toc151475907"/>
      <w:r w:rsidRPr="00F819BC">
        <w:rPr>
          <w:lang w:eastAsia="de-CH"/>
        </w:rPr>
        <w:t xml:space="preserve">Beitragsberechtigte </w:t>
      </w:r>
      <w:r w:rsidR="000E0A53">
        <w:rPr>
          <w:lang w:eastAsia="de-CH"/>
        </w:rPr>
        <w:t xml:space="preserve">und </w:t>
      </w:r>
      <w:r w:rsidR="00063537">
        <w:rPr>
          <w:lang w:eastAsia="de-CH"/>
        </w:rPr>
        <w:t xml:space="preserve">Definition der </w:t>
      </w:r>
      <w:r w:rsidR="000E0A53">
        <w:rPr>
          <w:lang w:eastAsia="de-CH"/>
        </w:rPr>
        <w:t xml:space="preserve">Unterstützungseinheit </w:t>
      </w:r>
      <w:r w:rsidRPr="00F819BC">
        <w:rPr>
          <w:lang w:eastAsia="de-CH"/>
        </w:rPr>
        <w:t xml:space="preserve">(§ 3 und </w:t>
      </w:r>
      <w:r w:rsidR="00C31F09">
        <w:rPr>
          <w:lang w:eastAsia="de-CH"/>
        </w:rPr>
        <w:t xml:space="preserve">§ </w:t>
      </w:r>
      <w:r w:rsidRPr="00F819BC">
        <w:rPr>
          <w:lang w:eastAsia="de-CH"/>
        </w:rPr>
        <w:t>4 MBG)</w:t>
      </w:r>
      <w:bookmarkEnd w:id="22"/>
    </w:p>
    <w:p w14:paraId="2F51A218" w14:textId="5A4BD1EA" w:rsidR="00875C75" w:rsidRDefault="008E1F18" w:rsidP="00875C75">
      <w:pPr>
        <w:pStyle w:val="berschrift3"/>
      </w:pPr>
      <w:bookmarkStart w:id="23" w:name="_Toc151475908"/>
      <w:r>
        <w:t>Familien und Alleinerziehende</w:t>
      </w:r>
      <w:bookmarkEnd w:id="23"/>
    </w:p>
    <w:p w14:paraId="0AC989B4" w14:textId="51E92FD4" w:rsidR="00DF773E" w:rsidRPr="00F819BC" w:rsidRDefault="00DF773E" w:rsidP="00923E46">
      <w:pPr>
        <w:tabs>
          <w:tab w:val="clear" w:pos="5103"/>
          <w:tab w:val="left" w:pos="142"/>
        </w:tabs>
        <w:spacing w:before="240" w:after="0"/>
        <w:jc w:val="both"/>
      </w:pPr>
      <w:r w:rsidRPr="00F819BC">
        <w:t xml:space="preserve">Beitragsberechtigt sind auf Gesuch hin Familien und Alleinerziehende mit mindestens </w:t>
      </w:r>
      <w:r w:rsidR="00002704">
        <w:rPr>
          <w:rFonts w:cs="Arial"/>
        </w:rPr>
        <w:t>einem</w:t>
      </w:r>
      <w:r w:rsidRPr="00F819BC">
        <w:t xml:space="preserve"> im gleichen Haushalt lebenden minderjährigen oder in Erstausbildung stehenden Kind. Es ist dabei irrelevant, ob es sich </w:t>
      </w:r>
      <w:r w:rsidR="00AD760A">
        <w:t>beim</w:t>
      </w:r>
      <w:r w:rsidRPr="00F819BC">
        <w:t xml:space="preserve"> Kind um ein </w:t>
      </w:r>
      <w:r w:rsidRPr="00923E46">
        <w:rPr>
          <w:rFonts w:cs="Arial"/>
        </w:rPr>
        <w:t>leibliches oder ein Pflege- oder Adoptivkind handelt.</w:t>
      </w:r>
    </w:p>
    <w:p w14:paraId="6D7AEE1C" w14:textId="77777777" w:rsidR="001F2A79" w:rsidRDefault="001F2A79" w:rsidP="001F2A79">
      <w:pPr>
        <w:pStyle w:val="berschrift3"/>
      </w:pPr>
      <w:bookmarkStart w:id="24" w:name="_Toc151475909"/>
      <w:r>
        <w:t>Karenzfrist</w:t>
      </w:r>
      <w:bookmarkEnd w:id="24"/>
    </w:p>
    <w:p w14:paraId="200DAA2D" w14:textId="2774B47C" w:rsidR="001F2A79" w:rsidRPr="00E43BE8" w:rsidRDefault="001F2A79" w:rsidP="001F2A79">
      <w:pPr>
        <w:pStyle w:val="Traktandum"/>
        <w:ind w:left="0"/>
      </w:pPr>
      <w:r>
        <w:t xml:space="preserve">Es besteht eine Karenzfrist von zwei Jahren. D.h. es besteht erst nach einer Wohndauer von zwei Jahren im Kanton Basel-Landschaft Anspruch auf Mietzinsbeiträge. Die Gemeinde muss die Angaben der antragsstellenden Person zum Wohnort und zur Wohndauer über das kantonale Personenregister </w:t>
      </w:r>
      <w:hyperlink r:id="rId13" w:history="1">
        <w:r w:rsidRPr="00063537">
          <w:rPr>
            <w:rStyle w:val="Hyperlink"/>
          </w:rPr>
          <w:t>arbo</w:t>
        </w:r>
      </w:hyperlink>
      <w:r>
        <w:t xml:space="preserve"> überprüfen.</w:t>
      </w:r>
    </w:p>
    <w:p w14:paraId="47463985" w14:textId="77777777" w:rsidR="001F2A79" w:rsidRPr="00923E46" w:rsidRDefault="001F2A79" w:rsidP="001F2A79">
      <w:pPr>
        <w:pStyle w:val="berschrift3"/>
      </w:pPr>
      <w:bookmarkStart w:id="25" w:name="_Toc151475910"/>
      <w:r>
        <w:t>Aufenthaltsstatus</w:t>
      </w:r>
      <w:bookmarkEnd w:id="25"/>
    </w:p>
    <w:p w14:paraId="6C196D7E" w14:textId="77777777" w:rsidR="001F2A79" w:rsidRPr="00923E46" w:rsidRDefault="001F2A79" w:rsidP="001F2A79">
      <w:pPr>
        <w:tabs>
          <w:tab w:val="clear" w:pos="5103"/>
          <w:tab w:val="left" w:pos="142"/>
        </w:tabs>
        <w:spacing w:before="120" w:after="0"/>
        <w:jc w:val="both"/>
        <w:rPr>
          <w:rFonts w:cs="Arial"/>
        </w:rPr>
      </w:pPr>
      <w:r w:rsidRPr="00923E46">
        <w:rPr>
          <w:rFonts w:cs="Arial"/>
        </w:rPr>
        <w:t>Anspruchsberechtigt sind:</w:t>
      </w:r>
    </w:p>
    <w:p w14:paraId="268A743C" w14:textId="77777777" w:rsidR="001F2A79" w:rsidRPr="00F819BC" w:rsidRDefault="001F2A79" w:rsidP="001F2A79">
      <w:pPr>
        <w:pStyle w:val="Listenabsatz"/>
        <w:numPr>
          <w:ilvl w:val="0"/>
          <w:numId w:val="14"/>
        </w:numPr>
        <w:tabs>
          <w:tab w:val="clear" w:pos="5103"/>
        </w:tabs>
        <w:autoSpaceDE w:val="0"/>
        <w:autoSpaceDN w:val="0"/>
        <w:adjustRightInd w:val="0"/>
        <w:spacing w:after="120"/>
        <w:ind w:left="568" w:hanging="284"/>
        <w:contextualSpacing w:val="0"/>
        <w:jc w:val="both"/>
        <w:rPr>
          <w:rFonts w:cs="Arial"/>
          <w:lang w:eastAsia="de-CH"/>
        </w:rPr>
      </w:pPr>
      <w:r w:rsidRPr="00F819BC">
        <w:rPr>
          <w:rFonts w:cs="Arial"/>
          <w:lang w:eastAsia="de-CH"/>
        </w:rPr>
        <w:t>Schweizerinnen und Schweizer;</w:t>
      </w:r>
    </w:p>
    <w:p w14:paraId="2899E635" w14:textId="77777777" w:rsidR="001F2A79" w:rsidRPr="00F819BC" w:rsidRDefault="001F2A79" w:rsidP="001F2A79">
      <w:pPr>
        <w:pStyle w:val="Listenabsatz"/>
        <w:numPr>
          <w:ilvl w:val="0"/>
          <w:numId w:val="14"/>
        </w:numPr>
        <w:tabs>
          <w:tab w:val="clear" w:pos="5103"/>
          <w:tab w:val="left" w:pos="1134"/>
        </w:tabs>
        <w:autoSpaceDE w:val="0"/>
        <w:autoSpaceDN w:val="0"/>
        <w:adjustRightInd w:val="0"/>
        <w:spacing w:after="120"/>
        <w:ind w:left="567" w:hanging="283"/>
        <w:jc w:val="both"/>
        <w:rPr>
          <w:rFonts w:cs="Arial"/>
          <w:lang w:eastAsia="de-CH"/>
        </w:rPr>
      </w:pPr>
      <w:r w:rsidRPr="00F819BC">
        <w:rPr>
          <w:rFonts w:cs="Arial"/>
          <w:lang w:eastAsia="de-CH"/>
        </w:rPr>
        <w:t xml:space="preserve">Ausländerinnen und Ausländer mit einer Niederlassungsbewilligung (Ausweis C) oder Aufenthaltsbewilligung (Ausweis B) oder </w:t>
      </w:r>
      <w:r>
        <w:rPr>
          <w:rFonts w:cs="Arial"/>
          <w:lang w:eastAsia="de-CH"/>
        </w:rPr>
        <w:t>vorläufig aufgenommene Personen (F) sowie Personen mit Schutzstatus (S).</w:t>
      </w:r>
    </w:p>
    <w:p w14:paraId="14ED6C20" w14:textId="77777777" w:rsidR="00875C75" w:rsidRDefault="00625BE1" w:rsidP="00875C75">
      <w:pPr>
        <w:pStyle w:val="berschrift3"/>
      </w:pPr>
      <w:bookmarkStart w:id="26" w:name="_Toc151475911"/>
      <w:r w:rsidRPr="00625BE1">
        <w:t>Unterstützungseinheit</w:t>
      </w:r>
      <w:bookmarkEnd w:id="26"/>
    </w:p>
    <w:p w14:paraId="70B46FEA" w14:textId="53FEA16B" w:rsidR="00DF773E" w:rsidRPr="00923E46" w:rsidRDefault="00DF773E" w:rsidP="00923E46">
      <w:pPr>
        <w:tabs>
          <w:tab w:val="clear" w:pos="5103"/>
          <w:tab w:val="left" w:pos="142"/>
        </w:tabs>
        <w:spacing w:before="120" w:after="0"/>
        <w:jc w:val="both"/>
        <w:rPr>
          <w:rFonts w:cs="Arial"/>
        </w:rPr>
      </w:pPr>
      <w:r w:rsidRPr="00923E46">
        <w:rPr>
          <w:rFonts w:cs="Arial"/>
        </w:rPr>
        <w:t xml:space="preserve">Eine Unterstützungseinheit umfasst neben der antragstellenden Person sämtliche im gleichen Haushalt lebenden Ehe- und </w:t>
      </w:r>
      <w:r w:rsidR="001A4971">
        <w:rPr>
          <w:rFonts w:cs="Arial"/>
        </w:rPr>
        <w:t xml:space="preserve">gefestigte </w:t>
      </w:r>
      <w:r w:rsidRPr="00923E46">
        <w:rPr>
          <w:rFonts w:cs="Arial"/>
        </w:rPr>
        <w:t xml:space="preserve">Konkubinatspartnerinnen und –partner, Partnerinnen und Partner in eingetragener Partnerschaft sowie </w:t>
      </w:r>
      <w:r w:rsidR="00063537">
        <w:rPr>
          <w:rFonts w:cs="Arial"/>
        </w:rPr>
        <w:t xml:space="preserve">deren </w:t>
      </w:r>
      <w:r w:rsidRPr="00923E46">
        <w:rPr>
          <w:rFonts w:cs="Arial"/>
        </w:rPr>
        <w:t xml:space="preserve">Kinder. Nicht als Unterstützungseinheit gelten Personen, die in einer Wohngemeinschaft leben. </w:t>
      </w:r>
      <w:r w:rsidR="001A4971">
        <w:rPr>
          <w:rFonts w:cs="Arial"/>
        </w:rPr>
        <w:t>Als gefestigtes Konkubinat gilt, wenn seit mindestens zwei Jahren ein gemeinsamer Haushalt geführt wird, wenn die beiden Personen mit einem oder mehreren gemeinsamen Kindern zusammenleben oder bei in der Schweiz nich</w:t>
      </w:r>
      <w:r w:rsidR="00063537">
        <w:rPr>
          <w:rFonts w:cs="Arial"/>
        </w:rPr>
        <w:t>t anerkannten Eheschliessungen.</w:t>
      </w:r>
    </w:p>
    <w:p w14:paraId="7AE88768" w14:textId="7D76E02B" w:rsidR="00875C75" w:rsidRDefault="00875C75" w:rsidP="00875C75">
      <w:pPr>
        <w:pStyle w:val="berschrift3"/>
      </w:pPr>
      <w:bookmarkStart w:id="27" w:name="_Toc151475912"/>
      <w:r>
        <w:lastRenderedPageBreak/>
        <w:t>Geteilte Obhut</w:t>
      </w:r>
      <w:bookmarkEnd w:id="27"/>
    </w:p>
    <w:p w14:paraId="75C8A6F0" w14:textId="4A9B853D" w:rsidR="00552CF8" w:rsidRDefault="00875C75" w:rsidP="007073AE">
      <w:pPr>
        <w:tabs>
          <w:tab w:val="clear" w:pos="5103"/>
          <w:tab w:val="left" w:pos="142"/>
        </w:tabs>
        <w:spacing w:before="120" w:after="0"/>
        <w:rPr>
          <w:rFonts w:cs="Arial"/>
        </w:rPr>
      </w:pPr>
      <w:r w:rsidRPr="00875C75">
        <w:rPr>
          <w:rFonts w:cs="Arial"/>
        </w:rPr>
        <w:t>V</w:t>
      </w:r>
      <w:r w:rsidR="00DF773E" w:rsidRPr="00875C75">
        <w:rPr>
          <w:rFonts w:cs="Arial"/>
        </w:rPr>
        <w:t>erbringen</w:t>
      </w:r>
      <w:r w:rsidR="00DF773E" w:rsidRPr="00923E46">
        <w:rPr>
          <w:rFonts w:cs="Arial"/>
        </w:rPr>
        <w:t xml:space="preserve"> Kinder im Trennungsfall ihre Zeit gleichermassen bei beiden Eltern oder üben </w:t>
      </w:r>
      <w:r w:rsidR="00583F63">
        <w:rPr>
          <w:rFonts w:cs="Arial"/>
        </w:rPr>
        <w:t xml:space="preserve">die Eltern </w:t>
      </w:r>
      <w:r w:rsidR="00DF773E" w:rsidRPr="00923E46">
        <w:rPr>
          <w:rFonts w:cs="Arial"/>
        </w:rPr>
        <w:t xml:space="preserve">ausgedehnte </w:t>
      </w:r>
      <w:r w:rsidR="00DF773E" w:rsidRPr="00A01767">
        <w:t>Besuchsrechte</w:t>
      </w:r>
      <w:r w:rsidR="00DF773E" w:rsidRPr="00923E46">
        <w:rPr>
          <w:rFonts w:cs="Arial"/>
        </w:rPr>
        <w:t xml:space="preserve"> aus (geteilte Obhut), können Kinder bei verschiedenen Unterstützungseinheiten mitberücksichtigt werden.</w:t>
      </w:r>
    </w:p>
    <w:p w14:paraId="553666AF" w14:textId="2D1CE039" w:rsidR="00DF773E" w:rsidRDefault="007073AE" w:rsidP="007073AE">
      <w:pPr>
        <w:tabs>
          <w:tab w:val="clear" w:pos="5103"/>
          <w:tab w:val="left" w:pos="142"/>
        </w:tabs>
        <w:spacing w:before="120" w:after="0"/>
      </w:pPr>
      <w:r>
        <w:rPr>
          <w:rFonts w:cs="Arial"/>
        </w:rPr>
        <w:t xml:space="preserve">Bei der </w:t>
      </w:r>
      <w:r w:rsidRPr="007073AE">
        <w:rPr>
          <w:rFonts w:cs="Arial"/>
        </w:rPr>
        <w:t xml:space="preserve">Frage, ob das Kind bei beiden Elternteilen zu einem Anspruch auf Mietzinsbeiträge führt, </w:t>
      </w:r>
      <w:r>
        <w:rPr>
          <w:rFonts w:cs="Arial"/>
        </w:rPr>
        <w:t>verfügt</w:t>
      </w:r>
      <w:r w:rsidRPr="007073AE">
        <w:rPr>
          <w:rFonts w:cs="Arial"/>
        </w:rPr>
        <w:t xml:space="preserve"> die </w:t>
      </w:r>
      <w:r w:rsidRPr="007073AE">
        <w:t xml:space="preserve">Gemeinde </w:t>
      </w:r>
      <w:r>
        <w:t>über</w:t>
      </w:r>
      <w:r w:rsidRPr="007073AE">
        <w:t xml:space="preserve"> </w:t>
      </w:r>
      <w:r w:rsidR="00583F63">
        <w:t xml:space="preserve">einen gewissen </w:t>
      </w:r>
      <w:r w:rsidRPr="007073AE">
        <w:t>Ermessensspielraum. Im Sinne des Gesetzes ist dieser eher grosszügig auszulegen. Lebt das Kind nur an</w:t>
      </w:r>
      <w:r>
        <w:t xml:space="preserve"> wenigen Tagen, bspw. an den</w:t>
      </w:r>
      <w:r w:rsidRPr="007073AE">
        <w:t xml:space="preserve"> Wochenenden</w:t>
      </w:r>
      <w:r w:rsidR="00AD760A">
        <w:t>,</w:t>
      </w:r>
      <w:r w:rsidRPr="007073AE">
        <w:t xml:space="preserve"> bei einem Elternteil, führt dies trotzdem dazu, dass </w:t>
      </w:r>
      <w:r w:rsidR="005F5B4B">
        <w:t>Platz</w:t>
      </w:r>
      <w:r w:rsidR="005F5B4B" w:rsidRPr="007073AE">
        <w:t xml:space="preserve"> </w:t>
      </w:r>
      <w:r w:rsidRPr="007073AE">
        <w:t>vorhanden</w:t>
      </w:r>
      <w:r w:rsidR="00063537">
        <w:t xml:space="preserve"> sein muss.</w:t>
      </w:r>
      <w:r>
        <w:t xml:space="preserve"> Auslagen </w:t>
      </w:r>
      <w:r w:rsidR="00901192">
        <w:t xml:space="preserve">in Zusammenhang mit dem Kind </w:t>
      </w:r>
      <w:r>
        <w:t>entstehen in der Regel bei beiden Elternteilen unabhängig vom Wohnort des Kindes.</w:t>
      </w:r>
    </w:p>
    <w:p w14:paraId="5CEC79E3" w14:textId="47D2C871" w:rsidR="00883C8A" w:rsidRDefault="00883C8A" w:rsidP="007F7823">
      <w:pPr>
        <w:pStyle w:val="berschrift3"/>
      </w:pPr>
      <w:r>
        <w:t xml:space="preserve"> </w:t>
      </w:r>
      <w:bookmarkStart w:id="28" w:name="_Toc151475913"/>
      <w:r w:rsidR="00F52619">
        <w:t>Kinder bei Pflegeeltern</w:t>
      </w:r>
      <w:r>
        <w:t xml:space="preserve"> und im Heim lebende Kinder</w:t>
      </w:r>
      <w:bookmarkEnd w:id="28"/>
    </w:p>
    <w:p w14:paraId="279A6CD7" w14:textId="21BCBCF5" w:rsidR="00883C8A" w:rsidRDefault="00883C8A" w:rsidP="007F7823">
      <w:pPr>
        <w:pStyle w:val="Traktandum"/>
        <w:ind w:left="0"/>
      </w:pPr>
      <w:r>
        <w:t xml:space="preserve">Sind ein oder mehrere Kinder einer </w:t>
      </w:r>
      <w:r w:rsidR="00F52619">
        <w:t xml:space="preserve">antragstellenden </w:t>
      </w:r>
      <w:r>
        <w:t xml:space="preserve">Familie </w:t>
      </w:r>
      <w:r w:rsidR="00B57E17">
        <w:t xml:space="preserve">bei </w:t>
      </w:r>
      <w:r w:rsidR="00F52619">
        <w:t>Pflegeeltern</w:t>
      </w:r>
      <w:r w:rsidR="00B57E17">
        <w:t xml:space="preserve"> </w:t>
      </w:r>
      <w:r>
        <w:t xml:space="preserve">platziert oder leben im Heim, muss im Einzelfall angeschaut werden, wie viel Zeit die Kinder </w:t>
      </w:r>
      <w:r w:rsidR="00D42BD1">
        <w:t>bei ihren leiblichen Eltern</w:t>
      </w:r>
      <w:r>
        <w:t xml:space="preserve"> verbringen (Besuchsregelung) und </w:t>
      </w:r>
      <w:r w:rsidR="00373EAD">
        <w:t>ob dies</w:t>
      </w:r>
      <w:r w:rsidR="00211C50">
        <w:t xml:space="preserve"> zu einem Anspruch auf Mietzinsbeiträge führt</w:t>
      </w:r>
      <w:r w:rsidR="00D42BD1">
        <w:t>. Beitragsberechtigt könnten somit sowohl die Pflegeeltern wie auch die leiblichen Eltern sein</w:t>
      </w:r>
    </w:p>
    <w:p w14:paraId="1C99249D" w14:textId="5E39CA08" w:rsidR="00273A26" w:rsidRDefault="00273A26" w:rsidP="00273A26">
      <w:pPr>
        <w:tabs>
          <w:tab w:val="clear" w:pos="5103"/>
          <w:tab w:val="left" w:pos="142"/>
        </w:tabs>
        <w:spacing w:before="120" w:after="0"/>
      </w:pPr>
      <w:r>
        <w:rPr>
          <w:rFonts w:cs="Arial"/>
        </w:rPr>
        <w:t xml:space="preserve">Bei der </w:t>
      </w:r>
      <w:r w:rsidRPr="007073AE">
        <w:rPr>
          <w:rFonts w:cs="Arial"/>
        </w:rPr>
        <w:t xml:space="preserve">Frage, ob das Kind </w:t>
      </w:r>
      <w:r w:rsidR="00F52619">
        <w:rPr>
          <w:rFonts w:cs="Arial"/>
        </w:rPr>
        <w:t>in der Unterstützungseinheit mitberücksichtigt werden kann</w:t>
      </w:r>
      <w:r w:rsidRPr="007073AE">
        <w:rPr>
          <w:rFonts w:cs="Arial"/>
        </w:rPr>
        <w:t xml:space="preserve">, </w:t>
      </w:r>
      <w:r w:rsidR="00A952AC">
        <w:rPr>
          <w:rFonts w:cs="Arial"/>
        </w:rPr>
        <w:t xml:space="preserve">wenn es </w:t>
      </w:r>
      <w:r w:rsidR="00F52619">
        <w:rPr>
          <w:rFonts w:cs="Arial"/>
        </w:rPr>
        <w:t>bei Pflegeeltern</w:t>
      </w:r>
      <w:r w:rsidR="00A952AC">
        <w:rPr>
          <w:rFonts w:cs="Arial"/>
        </w:rPr>
        <w:t xml:space="preserve"> oder in einem Heim </w:t>
      </w:r>
      <w:r w:rsidR="00F52619">
        <w:rPr>
          <w:rFonts w:cs="Arial"/>
        </w:rPr>
        <w:t>lebt</w:t>
      </w:r>
      <w:r w:rsidR="00A952AC">
        <w:rPr>
          <w:rFonts w:cs="Arial"/>
        </w:rPr>
        <w:t xml:space="preserve">, </w:t>
      </w:r>
      <w:r>
        <w:rPr>
          <w:rFonts w:cs="Arial"/>
        </w:rPr>
        <w:t>verfügt</w:t>
      </w:r>
      <w:r w:rsidRPr="007073AE">
        <w:rPr>
          <w:rFonts w:cs="Arial"/>
        </w:rPr>
        <w:t xml:space="preserve"> die </w:t>
      </w:r>
      <w:r w:rsidRPr="007073AE">
        <w:t xml:space="preserve">Gemeinde </w:t>
      </w:r>
      <w:r>
        <w:t>über</w:t>
      </w:r>
      <w:r w:rsidRPr="007073AE">
        <w:t xml:space="preserve"> </w:t>
      </w:r>
      <w:r>
        <w:t xml:space="preserve">einen gewissen </w:t>
      </w:r>
      <w:r w:rsidRPr="007073AE">
        <w:t xml:space="preserve">Ermessensspielraum. Im Sinne des Gesetzes ist dieser eher grosszügig auszulegen. </w:t>
      </w:r>
      <w:r w:rsidR="00D42BD1">
        <w:t>Verbringt</w:t>
      </w:r>
      <w:r w:rsidRPr="007073AE">
        <w:t xml:space="preserve"> das Kind nur</w:t>
      </w:r>
      <w:r w:rsidR="00EA492D">
        <w:t xml:space="preserve"> </w:t>
      </w:r>
      <w:r>
        <w:t xml:space="preserve">wenige Tage, bspw. </w:t>
      </w:r>
      <w:r w:rsidR="00D42BD1">
        <w:t>die</w:t>
      </w:r>
      <w:r w:rsidRPr="007073AE">
        <w:t xml:space="preserve"> Wochenenden</w:t>
      </w:r>
      <w:r w:rsidR="005B2E21">
        <w:t xml:space="preserve"> </w:t>
      </w:r>
      <w:r w:rsidR="00D42BD1">
        <w:t>bei den leiblichen Eltern</w:t>
      </w:r>
      <w:r w:rsidRPr="007073AE">
        <w:t xml:space="preserve">, führt dies trotzdem dazu, dass </w:t>
      </w:r>
      <w:r w:rsidR="00415FF8">
        <w:t>Platz</w:t>
      </w:r>
      <w:r w:rsidRPr="007073AE">
        <w:t xml:space="preserve"> vorhanden</w:t>
      </w:r>
      <w:r>
        <w:t xml:space="preserve"> sein muss. </w:t>
      </w:r>
      <w:r w:rsidR="00373EAD">
        <w:t xml:space="preserve">Auslagen im Zusammenhang mit dem Kind entstehen in der Regel auch dann, wenn das Kind </w:t>
      </w:r>
      <w:r w:rsidR="009165AB">
        <w:t xml:space="preserve">bei Pflegeeltern </w:t>
      </w:r>
      <w:r w:rsidR="00373EAD">
        <w:t>platziert ist oder im Heim wohnt.</w:t>
      </w:r>
      <w:r w:rsidR="00415FF8">
        <w:t xml:space="preserve"> Zu denken wäre hierbei an Krankenkassenprämien, Taschengeld im Heim etc.</w:t>
      </w:r>
      <w:r w:rsidR="00D42BD1">
        <w:t xml:space="preserve"> die bei der Berechnung ebenfalls zu berücksichtigen wären.</w:t>
      </w:r>
    </w:p>
    <w:p w14:paraId="2259ED26" w14:textId="77777777" w:rsidR="00273A26" w:rsidRPr="00883C8A" w:rsidRDefault="00273A26" w:rsidP="007F7823">
      <w:pPr>
        <w:pStyle w:val="Traktandum"/>
        <w:ind w:left="0"/>
      </w:pPr>
    </w:p>
    <w:p w14:paraId="20899C0A" w14:textId="77777777" w:rsidR="00DF773E" w:rsidRPr="0014337F" w:rsidRDefault="00DF773E" w:rsidP="00F339A8">
      <w:pPr>
        <w:pStyle w:val="berschrift2"/>
        <w:ind w:left="709"/>
      </w:pPr>
      <w:bookmarkStart w:id="29" w:name="_Toc151475914"/>
      <w:r w:rsidRPr="001C4E2C">
        <w:t>Einkommensgrenze</w:t>
      </w:r>
      <w:r w:rsidRPr="0014337F">
        <w:t xml:space="preserve"> (§ 6 MBG i.V.m. § 2 </w:t>
      </w:r>
      <w:r>
        <w:t xml:space="preserve">Abs. 1 </w:t>
      </w:r>
      <w:r w:rsidRPr="0014337F">
        <w:t>Vo MBG)</w:t>
      </w:r>
      <w:bookmarkEnd w:id="29"/>
    </w:p>
    <w:p w14:paraId="5A33E2C7" w14:textId="2388D74A" w:rsidR="00DF773E" w:rsidRPr="00923E46" w:rsidRDefault="00DF773E" w:rsidP="00923E46">
      <w:pPr>
        <w:tabs>
          <w:tab w:val="clear" w:pos="5103"/>
          <w:tab w:val="left" w:pos="142"/>
        </w:tabs>
        <w:spacing w:before="120" w:after="0"/>
        <w:jc w:val="both"/>
        <w:rPr>
          <w:bCs/>
        </w:rPr>
      </w:pPr>
      <w:r w:rsidRPr="00923E46">
        <w:rPr>
          <w:bCs/>
        </w:rPr>
        <w:t xml:space="preserve">Damit ein Anspruch auf Mietzinsbeiträge besteht, darf das Jahresnettoeinkommen der </w:t>
      </w:r>
      <w:r w:rsidRPr="00A01767">
        <w:t>Unterstützungseinheit</w:t>
      </w:r>
      <w:r w:rsidRPr="00923E46">
        <w:rPr>
          <w:bCs/>
        </w:rPr>
        <w:t xml:space="preserve"> die Einkommensgrenze nicht übersteigen. </w:t>
      </w:r>
      <w:r w:rsidR="00862741">
        <w:t xml:space="preserve">Die Einkommensgrenze ist kein fixer Betrag, sondern wird für jede antragstellende Person bzw. jede Unterstützungseinheit individuell bestimmt. </w:t>
      </w:r>
      <w:r w:rsidR="00862741">
        <w:rPr>
          <w:bCs/>
        </w:rPr>
        <w:t>Sie</w:t>
      </w:r>
      <w:r w:rsidRPr="00923E46">
        <w:rPr>
          <w:bCs/>
        </w:rPr>
        <w:t xml:space="preserve"> berechnet sich aus:</w:t>
      </w:r>
    </w:p>
    <w:p w14:paraId="138FE083" w14:textId="77777777" w:rsidR="00DF773E" w:rsidRPr="0014337F" w:rsidRDefault="00DF773E" w:rsidP="0076368D">
      <w:pPr>
        <w:pStyle w:val="Listenabsatz"/>
        <w:numPr>
          <w:ilvl w:val="0"/>
          <w:numId w:val="13"/>
        </w:numPr>
        <w:tabs>
          <w:tab w:val="clear" w:pos="5103"/>
        </w:tabs>
        <w:spacing w:after="120"/>
        <w:ind w:left="567" w:hanging="283"/>
        <w:contextualSpacing w:val="0"/>
        <w:jc w:val="both"/>
        <w:rPr>
          <w:bCs/>
        </w:rPr>
      </w:pPr>
      <w:r w:rsidRPr="003B6DFD">
        <w:rPr>
          <w:bCs/>
        </w:rPr>
        <w:t>dem allgemeinen Lebensbedarf</w:t>
      </w:r>
      <w:r>
        <w:rPr>
          <w:bCs/>
        </w:rPr>
        <w:t>,</w:t>
      </w:r>
      <w:r w:rsidRPr="003B6DFD">
        <w:rPr>
          <w:bCs/>
        </w:rPr>
        <w:t xml:space="preserve"> welcher </w:t>
      </w:r>
      <w:r>
        <w:rPr>
          <w:bCs/>
          <w:highlight w:val="lightGray"/>
        </w:rPr>
        <w:t>m</w:t>
      </w:r>
      <w:r w:rsidRPr="0014337F">
        <w:rPr>
          <w:bCs/>
          <w:highlight w:val="lightGray"/>
        </w:rPr>
        <w:t>ind. 130 %</w:t>
      </w:r>
      <w:r w:rsidRPr="0014337F">
        <w:rPr>
          <w:bCs/>
        </w:rPr>
        <w:t xml:space="preserve"> des Grundbedarfs gemäss Sozialhilfegesetzgebung</w:t>
      </w:r>
      <w:r>
        <w:rPr>
          <w:bCs/>
        </w:rPr>
        <w:t xml:space="preserve"> entspricht;</w:t>
      </w:r>
    </w:p>
    <w:p w14:paraId="11A4AA81" w14:textId="203038DB" w:rsidR="00DF773E" w:rsidRPr="0014337F" w:rsidRDefault="00DF773E" w:rsidP="0076368D">
      <w:pPr>
        <w:numPr>
          <w:ilvl w:val="0"/>
          <w:numId w:val="13"/>
        </w:numPr>
        <w:tabs>
          <w:tab w:val="clear" w:pos="5103"/>
        </w:tabs>
        <w:spacing w:after="120"/>
        <w:ind w:left="567" w:hanging="283"/>
        <w:jc w:val="both"/>
        <w:rPr>
          <w:bCs/>
        </w:rPr>
      </w:pPr>
      <w:r w:rsidRPr="0014337F">
        <w:rPr>
          <w:bCs/>
        </w:rPr>
        <w:t xml:space="preserve">den </w:t>
      </w:r>
      <w:r w:rsidR="0023720F">
        <w:rPr>
          <w:bCs/>
        </w:rPr>
        <w:t xml:space="preserve">effektiven </w:t>
      </w:r>
      <w:r w:rsidRPr="0014337F">
        <w:rPr>
          <w:bCs/>
        </w:rPr>
        <w:t>Prämien der obligatorischen Krankenpflegeversicherung bis maximal der regionalen Durchschnittsprämien nach Abzug der individuellen Prämienverbilligungen;</w:t>
      </w:r>
    </w:p>
    <w:p w14:paraId="752DD114" w14:textId="5473CEA8" w:rsidR="00DF773E" w:rsidRPr="0014337F" w:rsidRDefault="00DF773E" w:rsidP="0076368D">
      <w:pPr>
        <w:numPr>
          <w:ilvl w:val="0"/>
          <w:numId w:val="13"/>
        </w:numPr>
        <w:tabs>
          <w:tab w:val="clear" w:pos="5103"/>
        </w:tabs>
        <w:spacing w:after="120"/>
        <w:ind w:left="567" w:hanging="283"/>
        <w:jc w:val="both"/>
        <w:rPr>
          <w:bCs/>
        </w:rPr>
      </w:pPr>
      <w:r w:rsidRPr="0014337F">
        <w:rPr>
          <w:bCs/>
        </w:rPr>
        <w:t>der effektiven Jahresnettomiete bis maximal die angemessene Jahresnettomiete zuzüglich 20% der Nettomietkosten als Nebenkosten</w:t>
      </w:r>
      <w:r w:rsidR="00C141BD">
        <w:rPr>
          <w:bCs/>
        </w:rPr>
        <w:t xml:space="preserve"> (vgl. Abschnitt </w:t>
      </w:r>
      <w:r w:rsidR="00C141BD">
        <w:rPr>
          <w:bCs/>
        </w:rPr>
        <w:fldChar w:fldCharType="begin"/>
      </w:r>
      <w:r w:rsidR="00C141BD">
        <w:rPr>
          <w:bCs/>
        </w:rPr>
        <w:instrText xml:space="preserve"> REF _Ref123032330 \r \h </w:instrText>
      </w:r>
      <w:r w:rsidR="00C141BD">
        <w:rPr>
          <w:bCs/>
        </w:rPr>
      </w:r>
      <w:r w:rsidR="00C141BD">
        <w:rPr>
          <w:bCs/>
        </w:rPr>
        <w:fldChar w:fldCharType="separate"/>
      </w:r>
      <w:r w:rsidR="0077739D">
        <w:rPr>
          <w:bCs/>
        </w:rPr>
        <w:t>5.3</w:t>
      </w:r>
      <w:r w:rsidR="00C141BD">
        <w:rPr>
          <w:bCs/>
        </w:rPr>
        <w:fldChar w:fldCharType="end"/>
      </w:r>
      <w:r w:rsidR="00C141BD">
        <w:rPr>
          <w:bCs/>
        </w:rPr>
        <w:t>)</w:t>
      </w:r>
      <w:r w:rsidRPr="0014337F">
        <w:rPr>
          <w:bCs/>
        </w:rPr>
        <w:t>;</w:t>
      </w:r>
    </w:p>
    <w:p w14:paraId="79BAF1A3" w14:textId="26CEB7CF" w:rsidR="00DF773E" w:rsidRDefault="00DF773E" w:rsidP="0076368D">
      <w:pPr>
        <w:numPr>
          <w:ilvl w:val="0"/>
          <w:numId w:val="13"/>
        </w:numPr>
        <w:tabs>
          <w:tab w:val="clear" w:pos="5103"/>
        </w:tabs>
        <w:spacing w:after="120"/>
        <w:ind w:left="567" w:hanging="283"/>
        <w:jc w:val="both"/>
        <w:rPr>
          <w:bCs/>
        </w:rPr>
      </w:pPr>
      <w:r w:rsidRPr="0014337F">
        <w:rPr>
          <w:bCs/>
        </w:rPr>
        <w:t xml:space="preserve">den effektiven </w:t>
      </w:r>
      <w:r w:rsidR="00B3724B">
        <w:rPr>
          <w:bCs/>
        </w:rPr>
        <w:t xml:space="preserve">d.h. selbstgetragenen </w:t>
      </w:r>
      <w:r w:rsidRPr="0014337F">
        <w:rPr>
          <w:bCs/>
        </w:rPr>
        <w:t>Kosten für familienexterne Kinderbetreuung.</w:t>
      </w:r>
    </w:p>
    <w:p w14:paraId="6CB3FA2F" w14:textId="3EC06B6E" w:rsidR="00594EEF" w:rsidRPr="009E1F2F" w:rsidRDefault="009922E9" w:rsidP="00586B90">
      <w:pPr>
        <w:pBdr>
          <w:top w:val="single" w:sz="4" w:space="1" w:color="auto"/>
          <w:left w:val="single" w:sz="4" w:space="0" w:color="auto"/>
          <w:bottom w:val="single" w:sz="4" w:space="1" w:color="auto"/>
          <w:right w:val="single" w:sz="4" w:space="1" w:color="auto"/>
        </w:pBdr>
        <w:shd w:val="clear" w:color="auto" w:fill="F2F2F2" w:themeFill="background1" w:themeFillShade="F2"/>
        <w:tabs>
          <w:tab w:val="clear" w:pos="5103"/>
        </w:tabs>
        <w:spacing w:after="120"/>
        <w:jc w:val="both"/>
        <w:rPr>
          <w:rStyle w:val="SchwacheHervorhebung"/>
        </w:rPr>
      </w:pPr>
      <w:r w:rsidRPr="009E1F2F">
        <w:rPr>
          <w:rStyle w:val="SchwacheHervorhebung"/>
        </w:rPr>
        <w:t>Hinweis zur Regelung im</w:t>
      </w:r>
      <w:r w:rsidR="0064007C" w:rsidRPr="009E1F2F">
        <w:rPr>
          <w:rStyle w:val="SchwacheHervorhebung"/>
        </w:rPr>
        <w:t xml:space="preserve"> Gemeindereglement:</w:t>
      </w:r>
    </w:p>
    <w:p w14:paraId="0E1E8F1D" w14:textId="03096D6A" w:rsidR="00462574" w:rsidRPr="00462574" w:rsidRDefault="00462574" w:rsidP="00462574">
      <w:pPr>
        <w:pBdr>
          <w:top w:val="single" w:sz="4" w:space="1" w:color="auto"/>
          <w:left w:val="single" w:sz="4" w:space="0" w:color="auto"/>
          <w:bottom w:val="single" w:sz="4" w:space="1" w:color="auto"/>
          <w:right w:val="single" w:sz="4" w:space="1" w:color="auto"/>
        </w:pBdr>
        <w:shd w:val="clear" w:color="auto" w:fill="F2F2F2" w:themeFill="background1" w:themeFillShade="F2"/>
        <w:tabs>
          <w:tab w:val="clear" w:pos="5103"/>
        </w:tabs>
        <w:spacing w:after="120"/>
        <w:jc w:val="both"/>
        <w:rPr>
          <w:bCs/>
        </w:rPr>
      </w:pPr>
      <w:r w:rsidRPr="00462574">
        <w:rPr>
          <w:bCs/>
        </w:rPr>
        <w:t>Die Gemeinde muss den Faktor festlegen, mit welchem der Grundbedarf gemäss Sozialhilfegesetzgebung (§ 9 Sozialhilfeverordnung [</w:t>
      </w:r>
      <w:hyperlink r:id="rId14" w:history="1">
        <w:r w:rsidRPr="00462574">
          <w:rPr>
            <w:rStyle w:val="Hyperlink"/>
            <w:bCs/>
          </w:rPr>
          <w:t>SHV</w:t>
        </w:r>
      </w:hyperlink>
      <w:r w:rsidRPr="00462574">
        <w:rPr>
          <w:bCs/>
        </w:rPr>
        <w:t>, SGS 850.11]) als allgemeiner Lebensbedarf in die Berechnung der Einkommensgrenze einfliesst. Der Fakt</w:t>
      </w:r>
      <w:r>
        <w:rPr>
          <w:bCs/>
        </w:rPr>
        <w:t xml:space="preserve">or entspricht mindestens 130%. </w:t>
      </w:r>
    </w:p>
    <w:p w14:paraId="790DAD0F" w14:textId="789A9F8B" w:rsidR="005C29A1" w:rsidRPr="002C5516" w:rsidRDefault="00462574" w:rsidP="00586B90">
      <w:pPr>
        <w:pBdr>
          <w:top w:val="single" w:sz="4" w:space="1" w:color="auto"/>
          <w:left w:val="single" w:sz="4" w:space="0" w:color="auto"/>
          <w:bottom w:val="single" w:sz="4" w:space="1" w:color="auto"/>
          <w:right w:val="single" w:sz="4" w:space="1" w:color="auto"/>
        </w:pBdr>
        <w:shd w:val="clear" w:color="auto" w:fill="F2F2F2" w:themeFill="background1" w:themeFillShade="F2"/>
        <w:tabs>
          <w:tab w:val="clear" w:pos="5103"/>
          <w:tab w:val="left" w:pos="2835"/>
        </w:tabs>
        <w:spacing w:after="120"/>
        <w:jc w:val="both"/>
        <w:rPr>
          <w:bCs/>
        </w:rPr>
      </w:pPr>
      <w:r w:rsidRPr="00586B90">
        <w:rPr>
          <w:bCs/>
          <w:u w:val="single"/>
        </w:rPr>
        <w:t>Interpretationshilfe:</w:t>
      </w:r>
      <w:r w:rsidRPr="00AE65A6">
        <w:rPr>
          <w:bCs/>
        </w:rPr>
        <w:t xml:space="preserve"> </w:t>
      </w:r>
      <w:r w:rsidRPr="00462574">
        <w:rPr>
          <w:bCs/>
        </w:rPr>
        <w:t>Je höher der Faktor festgesetzt wird, desto höher ist die Einkommensgrenze und desto mehr Personen haben potenziell Anspruch auf Mietzinsbeiträge. Auch hier gilt, dass den damit verbundenen Mehrkosten Substitutionseffekte bezüglich der Sozialhilfe gegenüberstehen (vgl. die Ausführungen zu § 2).</w:t>
      </w:r>
    </w:p>
    <w:p w14:paraId="13D4E058" w14:textId="77777777" w:rsidR="00DF773E" w:rsidRPr="0014337F" w:rsidRDefault="00DF773E" w:rsidP="00DF773E">
      <w:pPr>
        <w:pStyle w:val="berschrift2"/>
      </w:pPr>
      <w:bookmarkStart w:id="30" w:name="_Toc151475915"/>
      <w:r w:rsidRPr="0014337F">
        <w:t>Vermögensgrenze (§ 7 MBG i.V.m. § 3 Vo MBG)</w:t>
      </w:r>
      <w:bookmarkEnd w:id="30"/>
    </w:p>
    <w:p w14:paraId="704F2209" w14:textId="703DCE90" w:rsidR="007858D6" w:rsidRDefault="007858D6" w:rsidP="00F159C1">
      <w:pPr>
        <w:pStyle w:val="berschrift3"/>
      </w:pPr>
      <w:bookmarkStart w:id="31" w:name="_Toc151475916"/>
      <w:r>
        <w:t>Mindesthöhe</w:t>
      </w:r>
      <w:bookmarkEnd w:id="31"/>
    </w:p>
    <w:p w14:paraId="68AF599F" w14:textId="1B4BBB52" w:rsidR="00DF773E" w:rsidRDefault="00DF773E" w:rsidP="00923E46">
      <w:pPr>
        <w:tabs>
          <w:tab w:val="clear" w:pos="5103"/>
          <w:tab w:val="left" w:pos="142"/>
        </w:tabs>
        <w:spacing w:after="120"/>
        <w:jc w:val="both"/>
        <w:rPr>
          <w:bCs/>
        </w:rPr>
      </w:pPr>
      <w:r w:rsidRPr="00923E46">
        <w:rPr>
          <w:bCs/>
        </w:rPr>
        <w:t xml:space="preserve">Übersteigt das Vermögen der Unterstützungseinheit das </w:t>
      </w:r>
      <w:r w:rsidRPr="00923E46">
        <w:rPr>
          <w:bCs/>
          <w:highlight w:val="lightGray"/>
        </w:rPr>
        <w:t>mind. 5-fache</w:t>
      </w:r>
      <w:r w:rsidRPr="00923E46">
        <w:rPr>
          <w:bCs/>
        </w:rPr>
        <w:t xml:space="preserve"> der freien </w:t>
      </w:r>
      <w:r w:rsidRPr="00A01767">
        <w:t>Vermögensbeträge</w:t>
      </w:r>
      <w:r w:rsidRPr="00923E46">
        <w:rPr>
          <w:bCs/>
        </w:rPr>
        <w:t xml:space="preserve"> gemäss §16 Abs. 2 der Sozialhilfeverordnung (</w:t>
      </w:r>
      <w:r w:rsidR="00223170">
        <w:rPr>
          <w:bCs/>
        </w:rPr>
        <w:t xml:space="preserve">SHV, </w:t>
      </w:r>
      <w:r w:rsidRPr="00923E46">
        <w:rPr>
          <w:bCs/>
        </w:rPr>
        <w:t>SGS 850.11)</w:t>
      </w:r>
      <w:r w:rsidR="0023720F">
        <w:rPr>
          <w:bCs/>
        </w:rPr>
        <w:t>,</w:t>
      </w:r>
      <w:r w:rsidRPr="00923E46">
        <w:rPr>
          <w:bCs/>
        </w:rPr>
        <w:t xml:space="preserve"> besteht kein Anspruch auf Mietzinsbeiträge.</w:t>
      </w:r>
    </w:p>
    <w:p w14:paraId="50DCD13D" w14:textId="77777777" w:rsidR="00FA2A4C" w:rsidRPr="009E1F2F" w:rsidRDefault="00FA2A4C" w:rsidP="00FA2A4C">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i/>
        </w:rPr>
      </w:pPr>
      <w:r w:rsidRPr="009E1F2F">
        <w:rPr>
          <w:i/>
        </w:rPr>
        <w:t>Hinweis zur Regelung im Gemeindereglement:</w:t>
      </w:r>
    </w:p>
    <w:p w14:paraId="323172E7" w14:textId="66888B64" w:rsidR="00462574" w:rsidRPr="00462574" w:rsidRDefault="00462574" w:rsidP="00462574">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bCs/>
        </w:rPr>
      </w:pPr>
      <w:r w:rsidRPr="00462574">
        <w:rPr>
          <w:bCs/>
        </w:rPr>
        <w:t xml:space="preserve">Die Gemeinde muss den Faktor festlegen, mit welchem die Vermögensfreibeträge gemäss Sozialhilfegesetzgebung (§ 16 Abs. 2 </w:t>
      </w:r>
      <w:hyperlink r:id="rId15" w:history="1">
        <w:r w:rsidRPr="00462574">
          <w:rPr>
            <w:rStyle w:val="Hyperlink"/>
            <w:bCs/>
          </w:rPr>
          <w:t>SHV</w:t>
        </w:r>
      </w:hyperlink>
      <w:r>
        <w:rPr>
          <w:bCs/>
        </w:rPr>
        <w:t>) in die Berechnung der Vermö</w:t>
      </w:r>
      <w:r w:rsidRPr="00462574">
        <w:rPr>
          <w:bCs/>
        </w:rPr>
        <w:t xml:space="preserve">gensgrenze einfliessen. Der minimale Faktor beträgt 5, er kann aber auch 6, 7 oder mehr betragen. </w:t>
      </w:r>
    </w:p>
    <w:p w14:paraId="435DF52E" w14:textId="49B6A7C2" w:rsidR="00FA2A4C" w:rsidRDefault="00FA2A4C" w:rsidP="00462574">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bCs/>
        </w:rPr>
      </w:pPr>
      <w:r>
        <w:rPr>
          <w:bCs/>
          <w:u w:val="single"/>
        </w:rPr>
        <w:t>Interpretationshilfe</w:t>
      </w:r>
      <w:r>
        <w:rPr>
          <w:bCs/>
        </w:rPr>
        <w:t xml:space="preserve">: </w:t>
      </w:r>
      <w:r w:rsidR="00462574" w:rsidRPr="00462574">
        <w:rPr>
          <w:bCs/>
        </w:rPr>
        <w:t>Je höher die Gemeinde den Faktor festsetzt, desto höher ist die Vermögensgrenze und desto mehr Personen haben potenziell Anspruch auf Mietzinsbeiträge. Eine höhere Vermögensgrenze wirkt präventiv. Personen mit geringem Einkommen müssen nicht ihre Reserven aufbrauchen und we</w:t>
      </w:r>
      <w:r w:rsidR="00462574">
        <w:rPr>
          <w:bCs/>
        </w:rPr>
        <w:t>rden darin unterstützt, ihre Le</w:t>
      </w:r>
      <w:r w:rsidR="00462574" w:rsidRPr="00462574">
        <w:rPr>
          <w:bCs/>
        </w:rPr>
        <w:t>benssituation zu stabilisieren. Ein späterer Eintritt in</w:t>
      </w:r>
      <w:r w:rsidR="00462574">
        <w:rPr>
          <w:bCs/>
        </w:rPr>
        <w:t xml:space="preserve"> die Sozialhilfe kann so gegebe</w:t>
      </w:r>
      <w:r w:rsidR="00462574" w:rsidRPr="00462574">
        <w:rPr>
          <w:bCs/>
        </w:rPr>
        <w:t>nenfalls frühzeitig verhindert werden.</w:t>
      </w:r>
      <w:r w:rsidR="00462574">
        <w:rPr>
          <w:bCs/>
        </w:rPr>
        <w:t xml:space="preserve"> </w:t>
      </w:r>
      <w:r w:rsidR="00462574" w:rsidRPr="00462574">
        <w:rPr>
          <w:bCs/>
        </w:rPr>
        <w:t>Auf die Ablösung von bestehenden Sozialhilfefäl</w:t>
      </w:r>
      <w:r w:rsidR="00462574">
        <w:rPr>
          <w:bCs/>
        </w:rPr>
        <w:t>len hat die Vermögensgrenze kei</w:t>
      </w:r>
      <w:r w:rsidR="00462574" w:rsidRPr="00462574">
        <w:rPr>
          <w:bCs/>
        </w:rPr>
        <w:t xml:space="preserve">nen Einfluss. </w:t>
      </w:r>
    </w:p>
    <w:p w14:paraId="3E6B7F54" w14:textId="041AE5EC" w:rsidR="00F2156C" w:rsidRDefault="00F2156C" w:rsidP="00F2156C">
      <w:pPr>
        <w:pStyle w:val="berschrift3"/>
      </w:pPr>
      <w:bookmarkStart w:id="32" w:name="_Toc151475917"/>
      <w:r>
        <w:t>Relevante Vermögenswerte</w:t>
      </w:r>
      <w:r w:rsidR="00223170">
        <w:t xml:space="preserve"> (Auflistung nicht abschliessend)</w:t>
      </w:r>
      <w:bookmarkEnd w:id="32"/>
    </w:p>
    <w:p w14:paraId="622C8900" w14:textId="77777777" w:rsidR="00F2156C" w:rsidRPr="00A911A2" w:rsidRDefault="00F2156C" w:rsidP="0076368D">
      <w:pPr>
        <w:pStyle w:val="Listenabsatz"/>
        <w:numPr>
          <w:ilvl w:val="0"/>
          <w:numId w:val="25"/>
        </w:numPr>
        <w:rPr>
          <w:szCs w:val="22"/>
        </w:rPr>
      </w:pPr>
      <w:r w:rsidRPr="00A911A2">
        <w:rPr>
          <w:szCs w:val="22"/>
        </w:rPr>
        <w:t>Bargeld</w:t>
      </w:r>
    </w:p>
    <w:p w14:paraId="6190AAFA" w14:textId="77777777" w:rsidR="00F2156C" w:rsidRPr="00A911A2" w:rsidRDefault="00F2156C" w:rsidP="0076368D">
      <w:pPr>
        <w:pStyle w:val="Listenabsatz"/>
        <w:numPr>
          <w:ilvl w:val="0"/>
          <w:numId w:val="25"/>
        </w:numPr>
        <w:rPr>
          <w:szCs w:val="22"/>
        </w:rPr>
      </w:pPr>
      <w:r w:rsidRPr="00A911A2">
        <w:rPr>
          <w:szCs w:val="22"/>
        </w:rPr>
        <w:t>Bank- oder Postcheckguthaben</w:t>
      </w:r>
    </w:p>
    <w:p w14:paraId="05FC1AD5" w14:textId="77777777" w:rsidR="00F2156C" w:rsidRPr="00340C72" w:rsidRDefault="00F2156C" w:rsidP="0076368D">
      <w:pPr>
        <w:pStyle w:val="Listenabsatz"/>
        <w:numPr>
          <w:ilvl w:val="0"/>
          <w:numId w:val="25"/>
        </w:numPr>
        <w:rPr>
          <w:szCs w:val="22"/>
        </w:rPr>
      </w:pPr>
      <w:r w:rsidRPr="00340C72">
        <w:rPr>
          <w:szCs w:val="22"/>
        </w:rPr>
        <w:t>Wertpapiere</w:t>
      </w:r>
    </w:p>
    <w:p w14:paraId="339E00F9" w14:textId="77777777" w:rsidR="00F2156C" w:rsidRPr="00340C72" w:rsidRDefault="00F2156C" w:rsidP="0076368D">
      <w:pPr>
        <w:pStyle w:val="Listenabsatz"/>
        <w:numPr>
          <w:ilvl w:val="0"/>
          <w:numId w:val="25"/>
        </w:numPr>
        <w:rPr>
          <w:szCs w:val="22"/>
        </w:rPr>
      </w:pPr>
      <w:r w:rsidRPr="00340C72">
        <w:rPr>
          <w:szCs w:val="22"/>
        </w:rPr>
        <w:t>Edelmetalle</w:t>
      </w:r>
    </w:p>
    <w:p w14:paraId="4F980EA6" w14:textId="77777777" w:rsidR="00F2156C" w:rsidRPr="00340C72" w:rsidRDefault="00F2156C" w:rsidP="0076368D">
      <w:pPr>
        <w:pStyle w:val="Listenabsatz"/>
        <w:numPr>
          <w:ilvl w:val="0"/>
          <w:numId w:val="25"/>
        </w:numPr>
        <w:rPr>
          <w:szCs w:val="22"/>
        </w:rPr>
      </w:pPr>
      <w:r w:rsidRPr="00340C72">
        <w:rPr>
          <w:szCs w:val="22"/>
        </w:rPr>
        <w:t>Forderungen</w:t>
      </w:r>
    </w:p>
    <w:p w14:paraId="1776C701" w14:textId="77777777" w:rsidR="00F2156C" w:rsidRPr="00340C72" w:rsidRDefault="00F2156C" w:rsidP="0076368D">
      <w:pPr>
        <w:pStyle w:val="Listenabsatz"/>
        <w:numPr>
          <w:ilvl w:val="0"/>
          <w:numId w:val="25"/>
        </w:numPr>
        <w:rPr>
          <w:szCs w:val="22"/>
        </w:rPr>
      </w:pPr>
      <w:r w:rsidRPr="00340C72">
        <w:rPr>
          <w:szCs w:val="22"/>
        </w:rPr>
        <w:t>Motorfahrzeuge</w:t>
      </w:r>
    </w:p>
    <w:p w14:paraId="42BD3CE4" w14:textId="77777777" w:rsidR="00F2156C" w:rsidRPr="00340C72" w:rsidRDefault="00F2156C" w:rsidP="0076368D">
      <w:pPr>
        <w:pStyle w:val="Listenabsatz"/>
        <w:numPr>
          <w:ilvl w:val="0"/>
          <w:numId w:val="25"/>
        </w:numPr>
        <w:rPr>
          <w:szCs w:val="22"/>
        </w:rPr>
      </w:pPr>
      <w:r w:rsidRPr="00340C72">
        <w:rPr>
          <w:szCs w:val="22"/>
        </w:rPr>
        <w:t>Wertgegenstände</w:t>
      </w:r>
    </w:p>
    <w:p w14:paraId="70D5D443" w14:textId="77777777" w:rsidR="00F2156C" w:rsidRPr="00340C72" w:rsidRDefault="00F2156C" w:rsidP="0076368D">
      <w:pPr>
        <w:pStyle w:val="Listenabsatz"/>
        <w:numPr>
          <w:ilvl w:val="0"/>
          <w:numId w:val="25"/>
        </w:numPr>
        <w:rPr>
          <w:szCs w:val="22"/>
        </w:rPr>
      </w:pPr>
      <w:r w:rsidRPr="00340C72">
        <w:rPr>
          <w:szCs w:val="22"/>
        </w:rPr>
        <w:t>Liegenschaften / Grundeigentum</w:t>
      </w:r>
    </w:p>
    <w:p w14:paraId="563CFB96" w14:textId="0E73D0EE" w:rsidR="00F2156C" w:rsidRDefault="00F2156C" w:rsidP="0076368D">
      <w:pPr>
        <w:pStyle w:val="Listenabsatz"/>
        <w:numPr>
          <w:ilvl w:val="0"/>
          <w:numId w:val="25"/>
        </w:numPr>
        <w:rPr>
          <w:szCs w:val="22"/>
        </w:rPr>
      </w:pPr>
      <w:r w:rsidRPr="00340C72">
        <w:rPr>
          <w:szCs w:val="22"/>
        </w:rPr>
        <w:t>Lebensversicherungen</w:t>
      </w:r>
      <w:r w:rsidR="00223170">
        <w:rPr>
          <w:szCs w:val="22"/>
        </w:rPr>
        <w:t xml:space="preserve"> </w:t>
      </w:r>
      <w:r w:rsidRPr="00340C72">
        <w:rPr>
          <w:szCs w:val="22"/>
        </w:rPr>
        <w:t>/</w:t>
      </w:r>
      <w:r w:rsidR="00223170">
        <w:rPr>
          <w:szCs w:val="22"/>
        </w:rPr>
        <w:t xml:space="preserve"> </w:t>
      </w:r>
      <w:r w:rsidRPr="00340C72">
        <w:rPr>
          <w:szCs w:val="22"/>
        </w:rPr>
        <w:t>Altersvorsorge</w:t>
      </w:r>
    </w:p>
    <w:p w14:paraId="48062F0F" w14:textId="72825FF9" w:rsidR="00F2156C" w:rsidRPr="00F2156C" w:rsidRDefault="00F2156C" w:rsidP="0076368D">
      <w:pPr>
        <w:pStyle w:val="Listenabsatz"/>
        <w:numPr>
          <w:ilvl w:val="0"/>
          <w:numId w:val="25"/>
        </w:numPr>
        <w:rPr>
          <w:szCs w:val="22"/>
        </w:rPr>
      </w:pPr>
      <w:r w:rsidRPr="00340C72">
        <w:rPr>
          <w:szCs w:val="22"/>
        </w:rPr>
        <w:t xml:space="preserve">Überschüsse aus Rückzahlung von Leistungen Dritter </w:t>
      </w:r>
    </w:p>
    <w:p w14:paraId="6202DFD2" w14:textId="3B9708A5" w:rsidR="00CE7C84" w:rsidRDefault="00CE7C84" w:rsidP="00CE7C84">
      <w:pPr>
        <w:pStyle w:val="berschrift3"/>
      </w:pPr>
      <w:bookmarkStart w:id="33" w:name="_Toc151475918"/>
      <w:r>
        <w:t>Über 55-jährige Personen</w:t>
      </w:r>
      <w:bookmarkEnd w:id="33"/>
    </w:p>
    <w:p w14:paraId="2A0E17CF" w14:textId="4C31A449" w:rsidR="00DF773E" w:rsidRPr="00923E46" w:rsidRDefault="00DF773E" w:rsidP="00923E46">
      <w:pPr>
        <w:tabs>
          <w:tab w:val="clear" w:pos="5103"/>
          <w:tab w:val="left" w:pos="142"/>
        </w:tabs>
        <w:spacing w:after="120"/>
        <w:jc w:val="both"/>
        <w:rPr>
          <w:bCs/>
        </w:rPr>
      </w:pPr>
      <w:r w:rsidRPr="00923E46">
        <w:rPr>
          <w:bCs/>
        </w:rPr>
        <w:t>Die in der Sozialhilfegesetzgebung definierten erhöhten Vermögensfreibeträge für über 55-jährige Personen (§</w:t>
      </w:r>
      <w:r w:rsidR="00223170">
        <w:rPr>
          <w:bCs/>
        </w:rPr>
        <w:t xml:space="preserve"> </w:t>
      </w:r>
      <w:r w:rsidRPr="00923E46">
        <w:rPr>
          <w:bCs/>
        </w:rPr>
        <w:t>16 Abs</w:t>
      </w:r>
      <w:r w:rsidR="00223170">
        <w:rPr>
          <w:bCs/>
        </w:rPr>
        <w:t>.</w:t>
      </w:r>
      <w:r w:rsidRPr="00923E46">
        <w:rPr>
          <w:bCs/>
        </w:rPr>
        <w:t xml:space="preserve"> 2</w:t>
      </w:r>
      <w:r w:rsidRPr="00923E46">
        <w:rPr>
          <w:bCs/>
          <w:vertAlign w:val="superscript"/>
        </w:rPr>
        <w:t>bis</w:t>
      </w:r>
      <w:r w:rsidR="00223170">
        <w:rPr>
          <w:bCs/>
          <w:vertAlign w:val="superscript"/>
        </w:rPr>
        <w:t xml:space="preserve"> </w:t>
      </w:r>
      <w:r w:rsidR="00223170">
        <w:rPr>
          <w:bCs/>
        </w:rPr>
        <w:t>SHV</w:t>
      </w:r>
      <w:r w:rsidRPr="00923E46">
        <w:rPr>
          <w:bCs/>
        </w:rPr>
        <w:t xml:space="preserve">) gelten in diesem Zusammenhang nicht. Für das Vermögen von Personen </w:t>
      </w:r>
      <w:r w:rsidR="0023720F">
        <w:rPr>
          <w:bCs/>
        </w:rPr>
        <w:t>über</w:t>
      </w:r>
      <w:r w:rsidR="0023720F" w:rsidRPr="00923E46">
        <w:rPr>
          <w:bCs/>
        </w:rPr>
        <w:t xml:space="preserve"> </w:t>
      </w:r>
      <w:r w:rsidRPr="00923E46">
        <w:rPr>
          <w:bCs/>
        </w:rPr>
        <w:t>55 Jahren gelten bei der Ermittlung des Anspruchs auf Mietzinsbeiträge die gleichen Freibeträge wie für Personen unter 55 Jahren.</w:t>
      </w:r>
    </w:p>
    <w:p w14:paraId="1D8C4B3A" w14:textId="09A48E78" w:rsidR="00CE7C84" w:rsidRDefault="00CE7C84" w:rsidP="00CE7C84">
      <w:pPr>
        <w:pStyle w:val="berschrift3"/>
      </w:pPr>
      <w:bookmarkStart w:id="34" w:name="_Toc151475919"/>
      <w:r>
        <w:t>Kind</w:t>
      </w:r>
      <w:r w:rsidR="006475B8">
        <w:t>e</w:t>
      </w:r>
      <w:r>
        <w:t>svermögen</w:t>
      </w:r>
      <w:bookmarkEnd w:id="34"/>
    </w:p>
    <w:p w14:paraId="79B41B04" w14:textId="258E4C4C" w:rsidR="00DF773E" w:rsidRDefault="00DF773E" w:rsidP="00923E46">
      <w:pPr>
        <w:tabs>
          <w:tab w:val="clear" w:pos="5103"/>
          <w:tab w:val="left" w:pos="142"/>
        </w:tabs>
        <w:spacing w:after="120"/>
        <w:jc w:val="both"/>
        <w:rPr>
          <w:bCs/>
        </w:rPr>
      </w:pPr>
      <w:r w:rsidRPr="00923E46">
        <w:rPr>
          <w:bCs/>
        </w:rPr>
        <w:t xml:space="preserve">Das </w:t>
      </w:r>
      <w:r w:rsidRPr="00A01767">
        <w:t>Kindesvermögen</w:t>
      </w:r>
      <w:r w:rsidRPr="00923E46">
        <w:rPr>
          <w:bCs/>
        </w:rPr>
        <w:t xml:space="preserve"> ist grundsätzlich unantastbar.</w:t>
      </w:r>
    </w:p>
    <w:p w14:paraId="48CF615E" w14:textId="1E8D8C86" w:rsidR="00FA2A4C" w:rsidRDefault="00FA2A4C" w:rsidP="00FA2A4C">
      <w:pPr>
        <w:pStyle w:val="berschrift3"/>
      </w:pPr>
      <w:bookmarkStart w:id="35" w:name="_Toc151475920"/>
      <w:r>
        <w:t>Motofahrzeuge</w:t>
      </w:r>
      <w:bookmarkEnd w:id="35"/>
    </w:p>
    <w:p w14:paraId="463EB216" w14:textId="783C1C20" w:rsidR="00FA2A4C" w:rsidRDefault="00FA2A4C" w:rsidP="00FA2A4C">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i/>
        </w:rPr>
      </w:pPr>
      <w:r w:rsidRPr="009E1F2F">
        <w:rPr>
          <w:i/>
        </w:rPr>
        <w:t>Hinweis zur Regelung im Gemeindereglement</w:t>
      </w:r>
      <w:r>
        <w:rPr>
          <w:i/>
        </w:rPr>
        <w:t xml:space="preserve"> (fakultativ)</w:t>
      </w:r>
      <w:r w:rsidRPr="009E1F2F">
        <w:rPr>
          <w:i/>
        </w:rPr>
        <w:t>:</w:t>
      </w:r>
    </w:p>
    <w:p w14:paraId="571EF9B0" w14:textId="58B1508F" w:rsidR="00462574" w:rsidRDefault="00462574" w:rsidP="00462574">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pPr>
      <w:r>
        <w:t>Ein Fahrzeug ist ein Vermögenswert, weshalb es grundsätzlich miteinberechnet werden muss. Die Gemeinden können nur vorsehen, dass ein Fahrzeug nicht eingerechnet wird, wenn es aus beruflichen oder gesundheitlichen Gründen benötigt wird. Dabei muss die Gemeinde ein einheitliches Vorgehen sicherstellen. Insbesondere muss sie festlegen, was als berufliche und gesundheitliche Gründe gilt.</w:t>
      </w:r>
    </w:p>
    <w:p w14:paraId="2F6CC731" w14:textId="78CE6D6F" w:rsidR="00FA2A4C" w:rsidRPr="00FA2A4C" w:rsidRDefault="00462574" w:rsidP="00FA2A4C">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pPr>
      <w:r>
        <w:t>Grundsätzlich können die Gemeinden dies auch über die Härtefallregelung lösen. Aber mit einer separaten Bestimmung ist die Handhabung klar und die Gesuchstellenden müssen sich nicht dem Härtefallverfahren unterziehen, welches immer mit einem erheblichen Ermessensspielraum verbunden ist.</w:t>
      </w:r>
    </w:p>
    <w:p w14:paraId="0D7D58D9" w14:textId="2933F1C8" w:rsidR="00DF773E" w:rsidRPr="00F819BC" w:rsidRDefault="00DF773E" w:rsidP="00DF773E">
      <w:pPr>
        <w:pStyle w:val="berschrift1"/>
      </w:pPr>
      <w:bookmarkStart w:id="36" w:name="_Toc151475921"/>
      <w:r w:rsidRPr="00F819BC">
        <w:t>Definition der Mietzinsbeitragshöhe</w:t>
      </w:r>
      <w:bookmarkEnd w:id="36"/>
    </w:p>
    <w:p w14:paraId="1CC641FE" w14:textId="77777777" w:rsidR="00DF773E" w:rsidRPr="0014337F" w:rsidRDefault="00DF773E" w:rsidP="00DF773E">
      <w:pPr>
        <w:pStyle w:val="berschrift2"/>
      </w:pPr>
      <w:bookmarkStart w:id="37" w:name="_Toc151475922"/>
      <w:r w:rsidRPr="0014337F">
        <w:t>Höhe des Mietzinsbeitrages (§ 5 Abs. 1 und 2 MBG)</w:t>
      </w:r>
      <w:bookmarkEnd w:id="37"/>
    </w:p>
    <w:p w14:paraId="585FED87" w14:textId="20B7FDEF" w:rsidR="001166FC" w:rsidRDefault="002D6293" w:rsidP="00F159C1">
      <w:pPr>
        <w:pStyle w:val="berschrift3"/>
      </w:pPr>
      <w:bookmarkStart w:id="38" w:name="_Toc151475923"/>
      <w:r>
        <w:t>Grundlagen für die Berechnung</w:t>
      </w:r>
      <w:bookmarkEnd w:id="38"/>
    </w:p>
    <w:p w14:paraId="27817A3A" w14:textId="37FF4DFE" w:rsidR="00A724BA" w:rsidRDefault="005A0A7C" w:rsidP="00A724BA">
      <w:r>
        <w:rPr>
          <w:rFonts w:cs="Arial"/>
          <w:color w:val="000000"/>
        </w:rPr>
        <w:t xml:space="preserve">Der Mietzinsbeitrag dient zur Deckung der effektiven Jahresnettomiete, wenn eine Unterstützungseinheit diese nicht vollständig tragen kann. </w:t>
      </w:r>
      <w:r w:rsidR="00D96284">
        <w:t>Für die Festlegung der Höhe des Mietzinsbeitrags wird für die Unterstützungseinheit das tragbare Mass der Mietzinsbelastung berechnet. Die Differenz der tragbaren Mietzinsbelastung zur effektiven Jahresnettomiete bestimmt die Höhe des Mietzinsbeitrags.</w:t>
      </w:r>
    </w:p>
    <w:p w14:paraId="2230B258" w14:textId="5B00810B" w:rsidR="005A0A7C" w:rsidRPr="00A724BA" w:rsidRDefault="005A0A7C" w:rsidP="00A724BA">
      <w:r w:rsidRPr="00923E46">
        <w:rPr>
          <w:bCs/>
        </w:rPr>
        <w:t xml:space="preserve">Das </w:t>
      </w:r>
      <w:r w:rsidRPr="00A01767">
        <w:t>tragbare</w:t>
      </w:r>
      <w:r w:rsidRPr="00923E46">
        <w:rPr>
          <w:bCs/>
        </w:rPr>
        <w:t xml:space="preserve"> Mass der Mietzinsbelastung ist</w:t>
      </w:r>
      <w:r>
        <w:rPr>
          <w:bCs/>
        </w:rPr>
        <w:t xml:space="preserve"> dabei</w:t>
      </w:r>
      <w:r w:rsidRPr="00923E46">
        <w:rPr>
          <w:bCs/>
        </w:rPr>
        <w:t xml:space="preserve"> </w:t>
      </w:r>
      <w:r>
        <w:rPr>
          <w:bCs/>
        </w:rPr>
        <w:t xml:space="preserve">definiert als </w:t>
      </w:r>
      <w:r w:rsidRPr="00923E46">
        <w:rPr>
          <w:bCs/>
        </w:rPr>
        <w:t>die Differenz zwischen dem massgeblichen Einkommen (vgl.</w:t>
      </w:r>
      <w:r w:rsidR="00552CF8">
        <w:rPr>
          <w:bCs/>
        </w:rPr>
        <w:t xml:space="preserve"> </w:t>
      </w:r>
      <w:r w:rsidR="009267BE">
        <w:rPr>
          <w:bCs/>
        </w:rPr>
        <w:t xml:space="preserve">Abschnitt </w:t>
      </w:r>
      <w:r w:rsidR="00552CF8">
        <w:rPr>
          <w:bCs/>
          <w:highlight w:val="yellow"/>
        </w:rPr>
        <w:fldChar w:fldCharType="begin"/>
      </w:r>
      <w:r w:rsidR="00552CF8">
        <w:rPr>
          <w:bCs/>
        </w:rPr>
        <w:instrText xml:space="preserve"> REF _Ref129595443 \r \h </w:instrText>
      </w:r>
      <w:r w:rsidR="00552CF8">
        <w:rPr>
          <w:bCs/>
          <w:highlight w:val="yellow"/>
        </w:rPr>
      </w:r>
      <w:r w:rsidR="00552CF8">
        <w:rPr>
          <w:bCs/>
          <w:highlight w:val="yellow"/>
        </w:rPr>
        <w:fldChar w:fldCharType="separate"/>
      </w:r>
      <w:r w:rsidR="0077739D">
        <w:rPr>
          <w:bCs/>
        </w:rPr>
        <w:t>6.1</w:t>
      </w:r>
      <w:r w:rsidR="00552CF8">
        <w:rPr>
          <w:bCs/>
          <w:highlight w:val="yellow"/>
        </w:rPr>
        <w:fldChar w:fldCharType="end"/>
      </w:r>
      <w:r w:rsidRPr="00923E46">
        <w:rPr>
          <w:bCs/>
        </w:rPr>
        <w:t>) und den anerkannten Ausgaben (vgl</w:t>
      </w:r>
      <w:r w:rsidR="00552CF8">
        <w:rPr>
          <w:bCs/>
        </w:rPr>
        <w:t>.</w:t>
      </w:r>
      <w:r w:rsidR="009267BE">
        <w:rPr>
          <w:bCs/>
        </w:rPr>
        <w:t xml:space="preserve"> Abschnitt</w:t>
      </w:r>
      <w:r w:rsidR="00552CF8">
        <w:rPr>
          <w:bCs/>
        </w:rPr>
        <w:t xml:space="preserve"> </w:t>
      </w:r>
      <w:r w:rsidR="00552CF8">
        <w:rPr>
          <w:bCs/>
        </w:rPr>
        <w:fldChar w:fldCharType="begin"/>
      </w:r>
      <w:r w:rsidR="00552CF8">
        <w:rPr>
          <w:bCs/>
        </w:rPr>
        <w:instrText xml:space="preserve"> REF _Ref129595460 \r \h </w:instrText>
      </w:r>
      <w:r w:rsidR="00552CF8">
        <w:rPr>
          <w:bCs/>
        </w:rPr>
      </w:r>
      <w:r w:rsidR="00552CF8">
        <w:rPr>
          <w:bCs/>
        </w:rPr>
        <w:fldChar w:fldCharType="separate"/>
      </w:r>
      <w:r w:rsidR="0077739D">
        <w:rPr>
          <w:bCs/>
        </w:rPr>
        <w:t>6.2</w:t>
      </w:r>
      <w:r w:rsidR="00552CF8">
        <w:rPr>
          <w:bCs/>
        </w:rPr>
        <w:fldChar w:fldCharType="end"/>
      </w:r>
      <w:r w:rsidRPr="00923E46">
        <w:rPr>
          <w:bCs/>
        </w:rPr>
        <w:t>).</w:t>
      </w:r>
    </w:p>
    <w:p w14:paraId="07880039" w14:textId="430A45B5" w:rsidR="005A0A7C" w:rsidRDefault="005A0A7C" w:rsidP="000B5D98">
      <w:pPr>
        <w:pStyle w:val="berschrift3"/>
      </w:pPr>
      <w:bookmarkStart w:id="39" w:name="_Toc151475924"/>
      <w:r>
        <w:t>Berechnung</w:t>
      </w:r>
      <w:r w:rsidR="00A724BA">
        <w:t xml:space="preserve"> Mietzinsbeitrag</w:t>
      </w:r>
      <w:bookmarkEnd w:id="39"/>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05"/>
      </w:tblGrid>
      <w:tr w:rsidR="00DD2F3B" w:rsidRPr="00394B05" w14:paraId="34DA61D9" w14:textId="77777777" w:rsidTr="006D4B64">
        <w:tc>
          <w:tcPr>
            <w:tcW w:w="8505" w:type="dxa"/>
          </w:tcPr>
          <w:p w14:paraId="6D56C542" w14:textId="396B08AF" w:rsidR="00DD2F3B" w:rsidRPr="005A0A7C" w:rsidRDefault="00DD2F3B" w:rsidP="000B5D98">
            <w:pPr>
              <w:shd w:val="clear" w:color="auto" w:fill="EAF1DD" w:themeFill="accent3" w:themeFillTint="33"/>
              <w:spacing w:after="0"/>
              <w:ind w:left="-113" w:right="-110"/>
              <w:rPr>
                <w:rFonts w:cs="Arial"/>
                <w:color w:val="000000"/>
                <w:sz w:val="20"/>
                <w:szCs w:val="20"/>
              </w:rPr>
            </w:pPr>
            <w:r w:rsidRPr="005A0A7C">
              <w:rPr>
                <w:rFonts w:cs="Arial"/>
                <w:color w:val="000000"/>
                <w:sz w:val="20"/>
                <w:szCs w:val="20"/>
              </w:rPr>
              <w:t>Jahresnettomiete</w:t>
            </w:r>
          </w:p>
        </w:tc>
      </w:tr>
      <w:tr w:rsidR="00DD2F3B" w:rsidRPr="00394B05" w14:paraId="62450B13" w14:textId="77777777" w:rsidTr="006D4B64">
        <w:tc>
          <w:tcPr>
            <w:tcW w:w="8505" w:type="dxa"/>
          </w:tcPr>
          <w:p w14:paraId="4E3BAC12" w14:textId="03F4B6FF" w:rsidR="00DD2F3B" w:rsidRPr="005A0A7C" w:rsidRDefault="000B5D98" w:rsidP="000B5D98">
            <w:pPr>
              <w:shd w:val="clear" w:color="auto" w:fill="EAF1DD" w:themeFill="accent3" w:themeFillTint="33"/>
              <w:spacing w:after="0"/>
              <w:ind w:right="-110" w:hanging="113"/>
              <w:rPr>
                <w:rFonts w:cs="Arial"/>
                <w:color w:val="000000"/>
                <w:sz w:val="20"/>
                <w:szCs w:val="20"/>
              </w:rPr>
            </w:pPr>
            <w:r>
              <w:rPr>
                <w:rFonts w:cs="Arial"/>
                <w:color w:val="000000"/>
                <w:sz w:val="20"/>
                <w:szCs w:val="20"/>
              </w:rPr>
              <w:t xml:space="preserve">- </w:t>
            </w:r>
            <w:r w:rsidR="00DD2F3B" w:rsidRPr="005A0A7C">
              <w:rPr>
                <w:rFonts w:cs="Arial"/>
                <w:color w:val="000000"/>
                <w:sz w:val="20"/>
                <w:szCs w:val="20"/>
              </w:rPr>
              <w:t>tragbares Mass der Mietzinsbelastung (massgebliches Einkommen – anerkannte Ausgaben)</w:t>
            </w:r>
          </w:p>
        </w:tc>
      </w:tr>
      <w:tr w:rsidR="00DD2F3B" w:rsidRPr="00394B05" w14:paraId="1AC074CC" w14:textId="77777777" w:rsidTr="006D4B64">
        <w:tc>
          <w:tcPr>
            <w:tcW w:w="8505" w:type="dxa"/>
          </w:tcPr>
          <w:p w14:paraId="1C7DA21A" w14:textId="3ABE5985" w:rsidR="00DD2F3B" w:rsidRPr="005A0A7C" w:rsidRDefault="000B5D98" w:rsidP="000B5D98">
            <w:pPr>
              <w:shd w:val="clear" w:color="auto" w:fill="EAF1DD" w:themeFill="accent3" w:themeFillTint="33"/>
              <w:spacing w:after="0"/>
              <w:ind w:right="-110" w:hanging="113"/>
              <w:rPr>
                <w:rFonts w:cs="Arial"/>
                <w:color w:val="000000"/>
                <w:sz w:val="20"/>
                <w:szCs w:val="20"/>
              </w:rPr>
            </w:pPr>
            <w:r>
              <w:rPr>
                <w:rFonts w:cs="Arial"/>
                <w:color w:val="000000"/>
                <w:sz w:val="20"/>
                <w:szCs w:val="20"/>
              </w:rPr>
              <w:t xml:space="preserve">= </w:t>
            </w:r>
            <w:r w:rsidR="00DD2F3B" w:rsidRPr="005A0A7C">
              <w:rPr>
                <w:rFonts w:cs="Arial"/>
                <w:color w:val="000000"/>
                <w:sz w:val="20"/>
                <w:szCs w:val="20"/>
              </w:rPr>
              <w:t>Mietzinsbeitrag</w:t>
            </w:r>
          </w:p>
        </w:tc>
      </w:tr>
    </w:tbl>
    <w:p w14:paraId="4B40D512" w14:textId="77777777" w:rsidR="00DF773E" w:rsidRPr="0014337F" w:rsidRDefault="00DF773E" w:rsidP="00F339A8">
      <w:pPr>
        <w:pStyle w:val="berschrift2"/>
        <w:ind w:left="851"/>
        <w:rPr>
          <w:bCs/>
        </w:rPr>
      </w:pPr>
      <w:bookmarkStart w:id="40" w:name="_Ref132641503"/>
      <w:bookmarkStart w:id="41" w:name="_Toc151475925"/>
      <w:r w:rsidRPr="0014337F">
        <w:t xml:space="preserve">Mietzinshöchstbeitrag (§ 5 Abs. 4 </w:t>
      </w:r>
      <w:r>
        <w:t xml:space="preserve">MBG </w:t>
      </w:r>
      <w:r w:rsidRPr="0014337F">
        <w:t xml:space="preserve">i.V.m. § 1 </w:t>
      </w:r>
      <w:r>
        <w:t xml:space="preserve">Abs. 2 und 3 </w:t>
      </w:r>
      <w:r w:rsidRPr="0014337F">
        <w:t>Vo MBG)</w:t>
      </w:r>
      <w:bookmarkEnd w:id="40"/>
      <w:bookmarkEnd w:id="41"/>
    </w:p>
    <w:p w14:paraId="3EB3D036" w14:textId="5C5031DD" w:rsidR="00D25687" w:rsidRDefault="00D25687" w:rsidP="00597F55">
      <w:pPr>
        <w:pStyle w:val="berschrift3"/>
      </w:pPr>
      <w:bookmarkStart w:id="42" w:name="_Toc151475926"/>
      <w:r>
        <w:t>Definition Mietzinshöchstbe</w:t>
      </w:r>
      <w:r w:rsidR="00592389">
        <w:t>i</w:t>
      </w:r>
      <w:r>
        <w:t>trag</w:t>
      </w:r>
      <w:bookmarkEnd w:id="42"/>
    </w:p>
    <w:p w14:paraId="113AF33A" w14:textId="3543DAF8" w:rsidR="00DF773E" w:rsidRPr="0014337F" w:rsidRDefault="00DF773E" w:rsidP="00923E46">
      <w:pPr>
        <w:tabs>
          <w:tab w:val="clear" w:pos="5103"/>
          <w:tab w:val="left" w:pos="142"/>
        </w:tabs>
        <w:spacing w:after="120"/>
        <w:jc w:val="both"/>
      </w:pPr>
      <w:r w:rsidRPr="0014337F">
        <w:t xml:space="preserve">Der maximale Mietzinsbeitrag beträgt </w:t>
      </w:r>
      <w:r w:rsidRPr="00923E46">
        <w:rPr>
          <w:highlight w:val="lightGray"/>
        </w:rPr>
        <w:t>mindestens 75 %</w:t>
      </w:r>
      <w:r w:rsidRPr="0014337F">
        <w:t xml:space="preserve"> der Jahresnettomiete zuzüglich 20</w:t>
      </w:r>
      <w:r>
        <w:t> </w:t>
      </w:r>
      <w:r w:rsidRPr="0014337F">
        <w:t xml:space="preserve">% als Nebenkosten </w:t>
      </w:r>
      <w:r w:rsidRPr="00923E46">
        <w:rPr>
          <w:bCs/>
        </w:rPr>
        <w:t>beziehungsweise</w:t>
      </w:r>
      <w:r w:rsidRPr="0014337F">
        <w:t xml:space="preserve"> der angemessenen Jahresnettomiete</w:t>
      </w:r>
      <w:r>
        <w:t>.</w:t>
      </w:r>
    </w:p>
    <w:p w14:paraId="3A4840DE" w14:textId="61145ECB" w:rsidR="00D25687" w:rsidRDefault="00D25687" w:rsidP="00597F55">
      <w:pPr>
        <w:pStyle w:val="berschrift3"/>
      </w:pPr>
      <w:bookmarkStart w:id="43" w:name="_Toc151475927"/>
      <w:r>
        <w:t>Ausnahmefälle</w:t>
      </w:r>
      <w:bookmarkEnd w:id="43"/>
    </w:p>
    <w:p w14:paraId="7D2DF693" w14:textId="19F91EB9" w:rsidR="009267BE" w:rsidRPr="00A008D9" w:rsidRDefault="009267BE" w:rsidP="00A008D9">
      <w:pPr>
        <w:pStyle w:val="TextCDB"/>
        <w:spacing w:after="220" w:line="240" w:lineRule="auto"/>
        <w:rPr>
          <w:lang w:val="de-CH"/>
        </w:rPr>
      </w:pPr>
      <w:r w:rsidRPr="00A44090">
        <w:rPr>
          <w:lang w:val="de-CH"/>
        </w:rPr>
        <w:t xml:space="preserve">In begründeten Fällen können die Gemeinden vom festgelegten Mietzinsbeitrag abweichen und Mietzinsbeiträge auch dann gewähren, wenn sie höher ausfallen als die festgelegten maximalen Mietzinsbeiträge. Dies jedoch maximal bis zum festgelegten Mietzinsgrenzwert. </w:t>
      </w:r>
      <w:r w:rsidR="00CE0AFC" w:rsidRPr="00A44090">
        <w:rPr>
          <w:lang w:val="de-CH"/>
        </w:rPr>
        <w:t xml:space="preserve">Eine solche Ausnahme kann etwa dann in Frage kommen, wenn eine Unterstützungseinheit ein geringes Einkommen hat und der Mietzinsbeitrag höher als der von der Gemeinde festgelegte maximale Mietzinsbeitrag ausfallen würde, aber das Vermögen der Unterstützungseinheit über den freien Vermögensbeträgen der Sozialhilfe liegt. In diesen Fällen hätte die Unterstützungseinheit </w:t>
      </w:r>
      <w:r w:rsidR="00CE0AFC">
        <w:rPr>
          <w:lang w:val="de-CH"/>
        </w:rPr>
        <w:t xml:space="preserve">keinen Anspruch </w:t>
      </w:r>
      <w:r w:rsidR="00CE0AFC" w:rsidRPr="00A44090">
        <w:rPr>
          <w:lang w:val="de-CH"/>
        </w:rPr>
        <w:t>auf Leistungen der Sozialhilfe</w:t>
      </w:r>
      <w:r w:rsidR="00CE0AFC">
        <w:rPr>
          <w:lang w:val="de-CH"/>
        </w:rPr>
        <w:t>, wäre aber bedroht, nach Abbau des vorhandenen Vermögens Sozialhilfe beziehen zu müssen</w:t>
      </w:r>
      <w:r w:rsidR="00CE0AFC" w:rsidRPr="00A44090">
        <w:rPr>
          <w:lang w:val="de-CH"/>
        </w:rPr>
        <w:t>. Mit der Ausnahmeregelung könnten diese Fälle über die Mietzinsbeiträge aufgefangen</w:t>
      </w:r>
      <w:r w:rsidR="00CE0AFC">
        <w:rPr>
          <w:lang w:val="de-CH"/>
        </w:rPr>
        <w:t xml:space="preserve"> und eine drohende Sozialhilfeabhängigkeit verhindert</w:t>
      </w:r>
      <w:r w:rsidR="00CE0AFC" w:rsidRPr="00A44090">
        <w:rPr>
          <w:lang w:val="de-CH"/>
        </w:rPr>
        <w:t xml:space="preserve"> werden.</w:t>
      </w:r>
    </w:p>
    <w:p w14:paraId="70899EA4" w14:textId="7728210C" w:rsidR="00B13750" w:rsidRPr="009E1F2F" w:rsidRDefault="00B13750" w:rsidP="00A02AD7">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i/>
        </w:rPr>
      </w:pPr>
      <w:r w:rsidRPr="009E1F2F">
        <w:rPr>
          <w:i/>
        </w:rPr>
        <w:t>Hinweis zur Regelung im Gemeindereglement:</w:t>
      </w:r>
    </w:p>
    <w:p w14:paraId="74A76CE8" w14:textId="283DCBCB" w:rsidR="00A008D9" w:rsidRDefault="00B13750" w:rsidP="00B13750">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bCs/>
        </w:rPr>
      </w:pPr>
      <w:r>
        <w:rPr>
          <w:bCs/>
        </w:rPr>
        <w:t>Die Gemeinde definiert im Reglement den maximalen Mietzinsbeitrag. Dieser muss mindestens 75% der Jahresnettomiete zuzüglich 20% als Nebenkosten beziehungsweise der angemessen</w:t>
      </w:r>
      <w:r w:rsidR="00592389">
        <w:rPr>
          <w:bCs/>
        </w:rPr>
        <w:t xml:space="preserve">en Jahresnettomiete entsprechen (bei Brutto-Mietzinsgrenzwerten: siehe Hinweis unter Punkt </w:t>
      </w:r>
      <w:r w:rsidR="00592389">
        <w:rPr>
          <w:bCs/>
        </w:rPr>
        <w:fldChar w:fldCharType="begin"/>
      </w:r>
      <w:r w:rsidR="00592389">
        <w:rPr>
          <w:bCs/>
        </w:rPr>
        <w:instrText xml:space="preserve"> REF _Ref123032330 \r \h </w:instrText>
      </w:r>
      <w:r w:rsidR="00592389">
        <w:rPr>
          <w:bCs/>
        </w:rPr>
      </w:r>
      <w:r w:rsidR="00592389">
        <w:rPr>
          <w:bCs/>
        </w:rPr>
        <w:fldChar w:fldCharType="separate"/>
      </w:r>
      <w:r w:rsidR="0077739D">
        <w:rPr>
          <w:bCs/>
        </w:rPr>
        <w:t>5.3</w:t>
      </w:r>
      <w:r w:rsidR="00592389">
        <w:rPr>
          <w:bCs/>
        </w:rPr>
        <w:fldChar w:fldCharType="end"/>
      </w:r>
      <w:r w:rsidR="00592389">
        <w:rPr>
          <w:bCs/>
        </w:rPr>
        <w:t>).</w:t>
      </w:r>
    </w:p>
    <w:p w14:paraId="782CCE81" w14:textId="77777777" w:rsidR="00DF773E" w:rsidRPr="0014337F" w:rsidRDefault="00DF773E" w:rsidP="00DF773E">
      <w:pPr>
        <w:pStyle w:val="berschrift2"/>
      </w:pPr>
      <w:bookmarkStart w:id="44" w:name="_Ref123032330"/>
      <w:bookmarkStart w:id="45" w:name="_Toc151475928"/>
      <w:r w:rsidRPr="0014337F">
        <w:t>Jahresnettomiete (§ 5 Abs. 3 und 5 MBG)</w:t>
      </w:r>
      <w:bookmarkEnd w:id="44"/>
      <w:bookmarkEnd w:id="45"/>
    </w:p>
    <w:p w14:paraId="517FEEA5" w14:textId="14F4E7CA" w:rsidR="00707E4F" w:rsidRDefault="00707E4F" w:rsidP="009A7F3F">
      <w:pPr>
        <w:pStyle w:val="berschrift3"/>
      </w:pPr>
      <w:bookmarkStart w:id="46" w:name="_Toc151475929"/>
      <w:r>
        <w:t>Definition</w:t>
      </w:r>
      <w:bookmarkEnd w:id="46"/>
    </w:p>
    <w:p w14:paraId="54A693FE" w14:textId="58A44818" w:rsidR="006B187A" w:rsidRDefault="00DF773E" w:rsidP="00923E46">
      <w:pPr>
        <w:tabs>
          <w:tab w:val="clear" w:pos="5103"/>
          <w:tab w:val="left" w:pos="142"/>
        </w:tabs>
        <w:spacing w:after="120"/>
        <w:jc w:val="both"/>
        <w:rPr>
          <w:bCs/>
        </w:rPr>
      </w:pPr>
      <w:r w:rsidRPr="00923E46">
        <w:rPr>
          <w:bCs/>
        </w:rPr>
        <w:t>Als Jahresnettomiete gilt der vertraglich vereinbarte Mietzins ohne Nebenkosten.</w:t>
      </w:r>
    </w:p>
    <w:p w14:paraId="316E95EA" w14:textId="13C8C2F9" w:rsidR="00707E4F" w:rsidRDefault="00707E4F" w:rsidP="00923E46">
      <w:pPr>
        <w:tabs>
          <w:tab w:val="clear" w:pos="5103"/>
          <w:tab w:val="left" w:pos="142"/>
        </w:tabs>
        <w:spacing w:after="120"/>
        <w:jc w:val="both"/>
        <w:rPr>
          <w:bCs/>
        </w:rPr>
      </w:pPr>
      <w:r w:rsidRPr="00923E46">
        <w:rPr>
          <w:bCs/>
        </w:rPr>
        <w:t xml:space="preserve">Die angemessene Jahresnettomiete wird auf </w:t>
      </w:r>
      <w:r w:rsidRPr="00E51F3D">
        <w:rPr>
          <w:bCs/>
          <w:highlight w:val="lightGray"/>
        </w:rPr>
        <w:t xml:space="preserve">mindestens </w:t>
      </w:r>
      <w:r w:rsidRPr="00923E46">
        <w:rPr>
          <w:bCs/>
        </w:rPr>
        <w:t>den kommunal festgelegten Mietzinsgrenzwert zuzüglich 20 % der Nettomietkosten als Nebenkosten festgelegt.</w:t>
      </w:r>
    </w:p>
    <w:p w14:paraId="0062BF50" w14:textId="3CA3ADA8" w:rsidR="006B187A" w:rsidRDefault="006B187A" w:rsidP="006B187A">
      <w:pPr>
        <w:pStyle w:val="berschrift3"/>
      </w:pPr>
      <w:bookmarkStart w:id="47" w:name="_Toc151475930"/>
      <w:r>
        <w:t>Jahresnettomiete &gt; angemessene Jahresnettomiete</w:t>
      </w:r>
      <w:bookmarkEnd w:id="47"/>
    </w:p>
    <w:p w14:paraId="6093C0D2" w14:textId="2CAA4806" w:rsidR="00DF773E" w:rsidRPr="00923E46" w:rsidRDefault="00DF773E" w:rsidP="00923E46">
      <w:pPr>
        <w:tabs>
          <w:tab w:val="clear" w:pos="5103"/>
          <w:tab w:val="left" w:pos="142"/>
        </w:tabs>
        <w:spacing w:after="120"/>
        <w:jc w:val="both"/>
        <w:rPr>
          <w:bCs/>
        </w:rPr>
      </w:pPr>
      <w:r w:rsidRPr="00923E46">
        <w:rPr>
          <w:bCs/>
        </w:rPr>
        <w:t xml:space="preserve">Liegt der vertraglich geregelte Mietzins über der durch die Wohngemeinde festgelegten angemessenen Jahresnettomiete, gilt </w:t>
      </w:r>
      <w:r w:rsidR="00640974">
        <w:rPr>
          <w:bCs/>
        </w:rPr>
        <w:t>dies nicht als Ausschlussgrund für den Bezug von Mietzinsbeiträgen. Übersteigt die effektive Jahresnettomiete (vertraglich geregelte</w:t>
      </w:r>
      <w:r w:rsidR="00972DCB">
        <w:rPr>
          <w:bCs/>
        </w:rPr>
        <w:t>r</w:t>
      </w:r>
      <w:r w:rsidR="00640974">
        <w:rPr>
          <w:bCs/>
        </w:rPr>
        <w:t xml:space="preserve"> Mietzins) die angemessene Jahresnettomiete, wird jedoch maximal die angemessene Jahresnettomiete für die Berechnung angewendet. </w:t>
      </w:r>
    </w:p>
    <w:p w14:paraId="406A2DF4" w14:textId="14EADEB4" w:rsidR="006B187A" w:rsidRDefault="006B187A" w:rsidP="006B187A">
      <w:pPr>
        <w:pStyle w:val="berschrift3"/>
      </w:pPr>
      <w:bookmarkStart w:id="48" w:name="_Toc151475931"/>
      <w:r>
        <w:t>Untermietverhältnis</w:t>
      </w:r>
      <w:bookmarkEnd w:id="48"/>
    </w:p>
    <w:p w14:paraId="37B7668C" w14:textId="3E77548D" w:rsidR="00DF773E" w:rsidRDefault="00E15E82" w:rsidP="00923E46">
      <w:pPr>
        <w:tabs>
          <w:tab w:val="clear" w:pos="5103"/>
          <w:tab w:val="left" w:pos="142"/>
        </w:tabs>
        <w:spacing w:after="120"/>
        <w:jc w:val="both"/>
        <w:rPr>
          <w:bCs/>
        </w:rPr>
      </w:pPr>
      <w:r>
        <w:t xml:space="preserve">Untermietverhältnisse müssen deklariert werden. Dies unabhängig davon, ob die antragstellende Person zur Untermiete wohnt oder sie einen Untermieter oder eine Untermieterin hat (z.B. in einer WG). </w:t>
      </w:r>
      <w:r w:rsidR="00DF773E" w:rsidRPr="00923E46">
        <w:rPr>
          <w:bCs/>
        </w:rPr>
        <w:t>Besteht ein Untermietverhältnis, so wird die Jahresnettomiete um eine dem Untermietverhältnis angemessene ortsübliche Miethöhe reduziert. In diesem Fall kann ein schriftlicher Untermietvertrag eingefordert werden.</w:t>
      </w:r>
    </w:p>
    <w:p w14:paraId="7A98AED1" w14:textId="2310C931" w:rsidR="00E51F3D" w:rsidRPr="009E1F2F" w:rsidRDefault="00E51F3D" w:rsidP="00A02AD7">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bCs/>
          <w:i/>
        </w:rPr>
      </w:pPr>
      <w:bookmarkStart w:id="49" w:name="_Ref128037129"/>
      <w:r w:rsidRPr="009E1F2F">
        <w:rPr>
          <w:bCs/>
          <w:i/>
        </w:rPr>
        <w:t>Hinweis zur Regelung im Gemeindereglement:</w:t>
      </w:r>
      <w:bookmarkEnd w:id="49"/>
    </w:p>
    <w:p w14:paraId="1B1FD799" w14:textId="77777777" w:rsidR="00281AF7" w:rsidRDefault="00B7724D" w:rsidP="00B7724D">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pPr>
      <w:r w:rsidRPr="00B7724D">
        <w:rPr>
          <w:bCs/>
        </w:rPr>
        <w:t>Die angemessene Jahresnettomiete muss minde</w:t>
      </w:r>
      <w:r>
        <w:rPr>
          <w:bCs/>
        </w:rPr>
        <w:t>stens dem festgelegten Mietzins</w:t>
      </w:r>
      <w:r w:rsidRPr="00B7724D">
        <w:rPr>
          <w:bCs/>
        </w:rPr>
        <w:t>grenzwert in der Sozialhilfe zuzüglich 20% als Nebenkosten entsprechen. Die Gemeind</w:t>
      </w:r>
      <w:r>
        <w:rPr>
          <w:bCs/>
        </w:rPr>
        <w:t>e kann genau diesen Wert nehmen,</w:t>
      </w:r>
      <w:r w:rsidRPr="00B7724D">
        <w:rPr>
          <w:bCs/>
        </w:rPr>
        <w:t xml:space="preserve"> oder auch einen höheren Wert festlegen, seien es 110%, 115% oder mehr des von der SHB festgelegten M</w:t>
      </w:r>
      <w:r>
        <w:rPr>
          <w:bCs/>
        </w:rPr>
        <w:t>ietzinsgrenzwertes plus 20% NK</w:t>
      </w:r>
      <w:r w:rsidRPr="00B7724D">
        <w:rPr>
          <w:bCs/>
        </w:rPr>
        <w:t xml:space="preserve">. </w:t>
      </w:r>
    </w:p>
    <w:p w14:paraId="1A18B6E3" w14:textId="6A5DEBDB" w:rsidR="00B7724D" w:rsidRPr="00B7724D" w:rsidRDefault="00281AF7" w:rsidP="00B7724D">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bCs/>
        </w:rPr>
      </w:pPr>
      <w:r w:rsidRPr="00281AF7">
        <w:rPr>
          <w:u w:val="single"/>
        </w:rPr>
        <w:t>Vorgehen bei Mietzinsgrenzwerten in Brutto:</w:t>
      </w:r>
      <w:r>
        <w:t xml:space="preserve"> </w:t>
      </w:r>
      <w:r w:rsidRPr="00281AF7">
        <w:rPr>
          <w:bCs/>
        </w:rPr>
        <w:t>Diejenigen Gemeinden, die eine Bruttomiete als Mietzinsgrenzwert definiert haben, verwenden diese als Richtwert</w:t>
      </w:r>
      <w:r>
        <w:rPr>
          <w:bCs/>
        </w:rPr>
        <w:t xml:space="preserve"> (angemessene Jahresbruttomiete</w:t>
      </w:r>
      <w:r w:rsidR="003F6BAD">
        <w:rPr>
          <w:bCs/>
        </w:rPr>
        <w:t xml:space="preserve"> und Jahresbruttomiete</w:t>
      </w:r>
      <w:r>
        <w:rPr>
          <w:bCs/>
        </w:rPr>
        <w:t>)</w:t>
      </w:r>
      <w:r w:rsidRPr="00281AF7">
        <w:rPr>
          <w:bCs/>
        </w:rPr>
        <w:t>.</w:t>
      </w:r>
      <w:r>
        <w:rPr>
          <w:bCs/>
        </w:rPr>
        <w:t xml:space="preserve"> Diese Gemeinden verwenden durchgehend Bruttowerte, so auch </w:t>
      </w:r>
      <w:r w:rsidR="00592389">
        <w:rPr>
          <w:bCs/>
        </w:rPr>
        <w:t>bei der Definition des Mietzinshöchstbeitrags</w:t>
      </w:r>
      <w:r>
        <w:rPr>
          <w:bCs/>
        </w:rPr>
        <w:t xml:space="preserve"> und in der Beitragsberechnung.</w:t>
      </w:r>
    </w:p>
    <w:p w14:paraId="7E54988C" w14:textId="189AEF32" w:rsidR="00972DCB" w:rsidRPr="00923E46" w:rsidRDefault="00B7724D" w:rsidP="00E51F3D">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bCs/>
        </w:rPr>
      </w:pPr>
      <w:r w:rsidRPr="00972DCB">
        <w:rPr>
          <w:bCs/>
          <w:u w:val="single"/>
        </w:rPr>
        <w:t>Interpretationshilfe</w:t>
      </w:r>
      <w:r>
        <w:rPr>
          <w:bCs/>
        </w:rPr>
        <w:t xml:space="preserve">: </w:t>
      </w:r>
      <w:r w:rsidRPr="00B7724D">
        <w:rPr>
          <w:bCs/>
        </w:rPr>
        <w:t xml:space="preserve">Je höher die angemessene Jahresnettomiete zu liegen kommt, desto mehr Haushalte werden einen Anspruch auf Mietzinsbeiträge geltend machen können. Den damit verbundenen Mehrkosten stehen Substitutionseffekte bezüglich der Sozialhilfe gegenüber (siehe </w:t>
      </w:r>
      <w:hyperlink r:id="rId16" w:history="1">
        <w:r w:rsidRPr="00B7724D">
          <w:rPr>
            <w:rStyle w:val="Hyperlink"/>
            <w:bCs/>
          </w:rPr>
          <w:t>Landratsvorlage 2022/386</w:t>
        </w:r>
      </w:hyperlink>
      <w:r w:rsidRPr="00B7724D">
        <w:rPr>
          <w:bCs/>
        </w:rPr>
        <w:t xml:space="preserve"> vom 21.6.2022, Abschnitt 2.11.2, S. 25f): Neueintritte in die Sozialhilfe von Haushalt</w:t>
      </w:r>
      <w:r>
        <w:rPr>
          <w:bCs/>
        </w:rPr>
        <w:t>en mit einem geringen Unterstütz</w:t>
      </w:r>
      <w:r w:rsidRPr="00B7724D">
        <w:rPr>
          <w:bCs/>
        </w:rPr>
        <w:t>ungsbedarf können verhindert und Haushalte mit einer geringen Deckungsquote aus der Sozialhilfe abgelöst werden.</w:t>
      </w:r>
    </w:p>
    <w:p w14:paraId="11E5E5C6" w14:textId="77777777" w:rsidR="00DF773E" w:rsidRPr="0014337F" w:rsidRDefault="00DF773E" w:rsidP="00DF773E">
      <w:pPr>
        <w:pStyle w:val="berschrift1"/>
        <w:rPr>
          <w:bCs/>
        </w:rPr>
      </w:pPr>
      <w:bookmarkStart w:id="50" w:name="_Toc151475932"/>
      <w:r w:rsidRPr="00F819BC">
        <w:t>Berechnungsgrundlagen</w:t>
      </w:r>
      <w:bookmarkEnd w:id="50"/>
    </w:p>
    <w:p w14:paraId="3BAC9966" w14:textId="77777777" w:rsidR="00DF773E" w:rsidRPr="00F819BC" w:rsidRDefault="00DF773E" w:rsidP="00DF773E">
      <w:pPr>
        <w:pStyle w:val="berschrift2"/>
      </w:pPr>
      <w:bookmarkStart w:id="51" w:name="_Ref129595443"/>
      <w:bookmarkStart w:id="52" w:name="_Toc151475933"/>
      <w:r w:rsidRPr="00A01767">
        <w:rPr>
          <w:bCs/>
        </w:rPr>
        <w:t>Massgebliches</w:t>
      </w:r>
      <w:r w:rsidRPr="00F819BC">
        <w:t xml:space="preserve"> Einkommen (§</w:t>
      </w:r>
      <w:r>
        <w:t xml:space="preserve"> </w:t>
      </w:r>
      <w:r w:rsidRPr="00F819BC">
        <w:t xml:space="preserve">8 </w:t>
      </w:r>
      <w:r>
        <w:t xml:space="preserve">Abs. 1 </w:t>
      </w:r>
      <w:r w:rsidRPr="00F819BC">
        <w:t>MBG i.V.m. §</w:t>
      </w:r>
      <w:r>
        <w:t xml:space="preserve"> </w:t>
      </w:r>
      <w:r w:rsidRPr="00F819BC">
        <w:t>4 Vo MBG)</w:t>
      </w:r>
      <w:bookmarkEnd w:id="51"/>
      <w:bookmarkEnd w:id="52"/>
    </w:p>
    <w:p w14:paraId="181C9CF6" w14:textId="3EA526B8" w:rsidR="00707E4F" w:rsidRDefault="00707E4F" w:rsidP="00F159C1">
      <w:pPr>
        <w:pStyle w:val="berschrift3"/>
      </w:pPr>
      <w:bookmarkStart w:id="53" w:name="_Toc151475934"/>
      <w:r>
        <w:t>Nettoeinkünfte</w:t>
      </w:r>
      <w:bookmarkEnd w:id="53"/>
    </w:p>
    <w:p w14:paraId="0D88596A" w14:textId="5C8FEA4E" w:rsidR="00DF773E" w:rsidRPr="00923E46" w:rsidRDefault="00E42BD8" w:rsidP="00923E46">
      <w:pPr>
        <w:tabs>
          <w:tab w:val="clear" w:pos="5103"/>
          <w:tab w:val="left" w:pos="142"/>
        </w:tabs>
        <w:spacing w:after="120"/>
        <w:jc w:val="both"/>
        <w:rPr>
          <w:rFonts w:cs="Arial"/>
        </w:rPr>
      </w:pPr>
      <w:r w:rsidRPr="005411CB">
        <w:rPr>
          <w:szCs w:val="22"/>
        </w:rPr>
        <w:t xml:space="preserve">Für die Prüfung des Anspruchs auf Mietzinsbeiträge und die Festlegung der Höhe </w:t>
      </w:r>
      <w:r>
        <w:rPr>
          <w:szCs w:val="22"/>
        </w:rPr>
        <w:t>der Beiträge</w:t>
      </w:r>
      <w:r w:rsidRPr="005411CB">
        <w:rPr>
          <w:szCs w:val="22"/>
        </w:rPr>
        <w:t xml:space="preserve"> werden die Nettoeinkünfte aller im Haushalt lebenden und zur Unterstütz</w:t>
      </w:r>
      <w:r>
        <w:rPr>
          <w:szCs w:val="22"/>
        </w:rPr>
        <w:t>ungseinheit gehörenden</w:t>
      </w:r>
      <w:r w:rsidRPr="005411CB">
        <w:rPr>
          <w:szCs w:val="22"/>
        </w:rPr>
        <w:t xml:space="preserve"> Personen berücksichtigt. Zu den Nettoeinkünften gehören insbesondere:</w:t>
      </w:r>
    </w:p>
    <w:p w14:paraId="42DAE5F7" w14:textId="38AD2523" w:rsidR="00DF773E" w:rsidRDefault="00DF773E" w:rsidP="0076368D">
      <w:pPr>
        <w:pStyle w:val="Listenabsatz"/>
        <w:numPr>
          <w:ilvl w:val="0"/>
          <w:numId w:val="26"/>
        </w:numPr>
        <w:tabs>
          <w:tab w:val="clear" w:pos="5103"/>
        </w:tabs>
        <w:spacing w:after="120"/>
        <w:contextualSpacing w:val="0"/>
        <w:jc w:val="both"/>
        <w:rPr>
          <w:rFonts w:cs="Arial"/>
        </w:rPr>
      </w:pPr>
      <w:r w:rsidRPr="00DB159F">
        <w:rPr>
          <w:rFonts w:cs="Arial"/>
        </w:rPr>
        <w:t>Erwerbseinkommen aus unselbständiger und selbständi</w:t>
      </w:r>
      <w:r>
        <w:rPr>
          <w:rFonts w:cs="Arial"/>
        </w:rPr>
        <w:t>ger Erwerbstätigkeit (inkl. 13. Mo</w:t>
      </w:r>
      <w:r w:rsidRPr="00DB159F">
        <w:rPr>
          <w:rFonts w:cs="Arial"/>
        </w:rPr>
        <w:t>natslohn, Gratifikation, Provisi</w:t>
      </w:r>
      <w:r>
        <w:rPr>
          <w:rFonts w:cs="Arial"/>
        </w:rPr>
        <w:t>on, Erfolgsbeteiligungen, Familienzulagen etc.)</w:t>
      </w:r>
      <w:r w:rsidR="000A7BE5">
        <w:rPr>
          <w:rFonts w:cs="Arial"/>
        </w:rPr>
        <w:t xml:space="preserve"> </w:t>
      </w:r>
    </w:p>
    <w:p w14:paraId="62B4FFE2" w14:textId="4D620845" w:rsidR="00DF773E" w:rsidRDefault="00DF773E" w:rsidP="0076368D">
      <w:pPr>
        <w:pStyle w:val="Listenabsatz"/>
        <w:numPr>
          <w:ilvl w:val="0"/>
          <w:numId w:val="26"/>
        </w:numPr>
        <w:tabs>
          <w:tab w:val="clear" w:pos="5103"/>
        </w:tabs>
        <w:spacing w:after="120"/>
        <w:contextualSpacing w:val="0"/>
        <w:jc w:val="both"/>
        <w:rPr>
          <w:rFonts w:cs="Arial"/>
        </w:rPr>
      </w:pPr>
      <w:r w:rsidRPr="00DB159F">
        <w:rPr>
          <w:rFonts w:cs="Arial"/>
        </w:rPr>
        <w:t>Erwerbsersatzeinkommen (Taggelder der ALV, Kranken-</w:t>
      </w:r>
      <w:r>
        <w:rPr>
          <w:rFonts w:cs="Arial"/>
        </w:rPr>
        <w:t xml:space="preserve"> und Unfalltaggelder, EO etc.)</w:t>
      </w:r>
    </w:p>
    <w:p w14:paraId="54C9620F" w14:textId="77777777" w:rsidR="00DF773E" w:rsidRDefault="00DF773E" w:rsidP="0076368D">
      <w:pPr>
        <w:pStyle w:val="Listenabsatz"/>
        <w:numPr>
          <w:ilvl w:val="0"/>
          <w:numId w:val="26"/>
        </w:numPr>
        <w:tabs>
          <w:tab w:val="clear" w:pos="5103"/>
        </w:tabs>
        <w:spacing w:after="120"/>
        <w:contextualSpacing w:val="0"/>
        <w:jc w:val="both"/>
        <w:rPr>
          <w:rFonts w:cs="Arial"/>
        </w:rPr>
      </w:pPr>
      <w:r w:rsidRPr="00DB159F">
        <w:rPr>
          <w:rFonts w:cs="Arial"/>
        </w:rPr>
        <w:t>I</w:t>
      </w:r>
      <w:r>
        <w:rPr>
          <w:rFonts w:cs="Arial"/>
        </w:rPr>
        <w:t>ndividuelle Prämienverbilligung</w:t>
      </w:r>
    </w:p>
    <w:p w14:paraId="4CC3B4F0" w14:textId="77777777" w:rsidR="00DF773E" w:rsidRDefault="00DF773E" w:rsidP="0076368D">
      <w:pPr>
        <w:pStyle w:val="Listenabsatz"/>
        <w:numPr>
          <w:ilvl w:val="0"/>
          <w:numId w:val="26"/>
        </w:numPr>
        <w:tabs>
          <w:tab w:val="clear" w:pos="5103"/>
        </w:tabs>
        <w:spacing w:after="120"/>
        <w:contextualSpacing w:val="0"/>
        <w:jc w:val="both"/>
        <w:rPr>
          <w:rFonts w:cs="Arial"/>
        </w:rPr>
      </w:pPr>
      <w:r w:rsidRPr="00DB159F">
        <w:rPr>
          <w:rFonts w:cs="Arial"/>
        </w:rPr>
        <w:t xml:space="preserve">Renten </w:t>
      </w:r>
      <w:r>
        <w:rPr>
          <w:rFonts w:cs="Arial"/>
        </w:rPr>
        <w:t>(AHV, IV, BVG) inkl. Vorbezüge</w:t>
      </w:r>
    </w:p>
    <w:p w14:paraId="0B012CB7" w14:textId="77777777" w:rsidR="00DF773E" w:rsidRDefault="00DF773E" w:rsidP="0076368D">
      <w:pPr>
        <w:pStyle w:val="Listenabsatz"/>
        <w:numPr>
          <w:ilvl w:val="0"/>
          <w:numId w:val="26"/>
        </w:numPr>
        <w:tabs>
          <w:tab w:val="clear" w:pos="5103"/>
        </w:tabs>
        <w:spacing w:after="120"/>
        <w:contextualSpacing w:val="0"/>
        <w:jc w:val="both"/>
        <w:rPr>
          <w:rFonts w:cs="Arial"/>
        </w:rPr>
      </w:pPr>
      <w:r>
        <w:rPr>
          <w:rFonts w:cs="Arial"/>
        </w:rPr>
        <w:t>Praktikums- und Lehrlingslohn</w:t>
      </w:r>
    </w:p>
    <w:p w14:paraId="471D0D92" w14:textId="77777777" w:rsidR="00DF773E" w:rsidRDefault="00DF773E" w:rsidP="0076368D">
      <w:pPr>
        <w:pStyle w:val="Listenabsatz"/>
        <w:numPr>
          <w:ilvl w:val="0"/>
          <w:numId w:val="26"/>
        </w:numPr>
        <w:tabs>
          <w:tab w:val="clear" w:pos="5103"/>
        </w:tabs>
        <w:spacing w:after="120"/>
        <w:contextualSpacing w:val="0"/>
        <w:jc w:val="both"/>
        <w:rPr>
          <w:rFonts w:cs="Arial"/>
        </w:rPr>
      </w:pPr>
      <w:r w:rsidRPr="00DB159F">
        <w:rPr>
          <w:rFonts w:cs="Arial"/>
        </w:rPr>
        <w:t>Unterhalts</w:t>
      </w:r>
      <w:r>
        <w:rPr>
          <w:rFonts w:cs="Arial"/>
        </w:rPr>
        <w:t>beiträge (eheliche, elterliche)</w:t>
      </w:r>
    </w:p>
    <w:p w14:paraId="409E7082" w14:textId="77777777" w:rsidR="00DF773E" w:rsidRDefault="00DF773E" w:rsidP="0076368D">
      <w:pPr>
        <w:pStyle w:val="Listenabsatz"/>
        <w:numPr>
          <w:ilvl w:val="0"/>
          <w:numId w:val="26"/>
        </w:numPr>
        <w:tabs>
          <w:tab w:val="clear" w:pos="5103"/>
        </w:tabs>
        <w:spacing w:after="120"/>
        <w:contextualSpacing w:val="0"/>
        <w:jc w:val="both"/>
        <w:rPr>
          <w:rFonts w:cs="Arial"/>
        </w:rPr>
      </w:pPr>
      <w:r>
        <w:rPr>
          <w:rFonts w:cs="Arial"/>
        </w:rPr>
        <w:t>Ausbildungsbeiträge</w:t>
      </w:r>
    </w:p>
    <w:p w14:paraId="05490875" w14:textId="4B5C6D75" w:rsidR="00DF773E" w:rsidRPr="0014337F" w:rsidRDefault="00DF773E" w:rsidP="0076368D">
      <w:pPr>
        <w:pStyle w:val="Listenabsatz"/>
        <w:numPr>
          <w:ilvl w:val="0"/>
          <w:numId w:val="26"/>
        </w:numPr>
        <w:tabs>
          <w:tab w:val="clear" w:pos="5103"/>
        </w:tabs>
        <w:spacing w:after="120"/>
        <w:contextualSpacing w:val="0"/>
        <w:jc w:val="both"/>
        <w:rPr>
          <w:rFonts w:cs="Arial"/>
        </w:rPr>
      </w:pPr>
      <w:r w:rsidRPr="00DB159F">
        <w:rPr>
          <w:rFonts w:cs="Arial"/>
        </w:rPr>
        <w:t>Sonstige Leistungen Dritter</w:t>
      </w:r>
      <w:r w:rsidR="003B255B">
        <w:rPr>
          <w:rFonts w:cs="Arial"/>
        </w:rPr>
        <w:t xml:space="preserve"> (z.B. freiwillige Leistungen von Eltern)</w:t>
      </w:r>
    </w:p>
    <w:p w14:paraId="35A9C46F" w14:textId="60EB3470" w:rsidR="00E42BD8" w:rsidRDefault="00E42BD8" w:rsidP="00E42BD8">
      <w:pPr>
        <w:pStyle w:val="berschrift3"/>
      </w:pPr>
      <w:bookmarkStart w:id="54" w:name="_Toc151475935"/>
      <w:r>
        <w:t>Hilflosenentschädigung</w:t>
      </w:r>
      <w:bookmarkEnd w:id="54"/>
    </w:p>
    <w:p w14:paraId="7B1FE6FF" w14:textId="5C8235F2" w:rsidR="00E42BD8" w:rsidRPr="00E42BD8" w:rsidRDefault="00E42BD8" w:rsidP="00E42BD8">
      <w:pPr>
        <w:rPr>
          <w:szCs w:val="22"/>
        </w:rPr>
      </w:pPr>
      <w:r w:rsidRPr="005411CB">
        <w:rPr>
          <w:szCs w:val="22"/>
        </w:rPr>
        <w:t>Eine allfällige Hilflosenentschädig</w:t>
      </w:r>
      <w:r>
        <w:rPr>
          <w:szCs w:val="22"/>
        </w:rPr>
        <w:t xml:space="preserve">ung wird </w:t>
      </w:r>
      <w:r w:rsidRPr="00E42BD8">
        <w:rPr>
          <w:szCs w:val="22"/>
          <w:u w:val="single"/>
        </w:rPr>
        <w:t>nicht</w:t>
      </w:r>
      <w:r>
        <w:rPr>
          <w:szCs w:val="22"/>
        </w:rPr>
        <w:t xml:space="preserve"> zum massgeblichen</w:t>
      </w:r>
      <w:r w:rsidRPr="005411CB">
        <w:rPr>
          <w:szCs w:val="22"/>
        </w:rPr>
        <w:t xml:space="preserve"> Einkommen hinzugerechnet. Diese dient zur Deckung von Unterstützung</w:t>
      </w:r>
      <w:r w:rsidR="0046361C">
        <w:rPr>
          <w:szCs w:val="22"/>
        </w:rPr>
        <w:t>sleistungen</w:t>
      </w:r>
      <w:r w:rsidRPr="005411CB">
        <w:rPr>
          <w:szCs w:val="22"/>
        </w:rPr>
        <w:t>, wenn bei alltäglichen Verrichtung</w:t>
      </w:r>
      <w:r w:rsidR="00707E4F">
        <w:rPr>
          <w:szCs w:val="22"/>
        </w:rPr>
        <w:t>en</w:t>
      </w:r>
      <w:r w:rsidRPr="005411CB">
        <w:rPr>
          <w:szCs w:val="22"/>
        </w:rPr>
        <w:t xml:space="preserve"> Hilfe benötigt wird. Sie ist keine Rente, die frei verwendet werden kann</w:t>
      </w:r>
      <w:r>
        <w:rPr>
          <w:szCs w:val="22"/>
        </w:rPr>
        <w:t>.</w:t>
      </w:r>
    </w:p>
    <w:p w14:paraId="5DE67F3A" w14:textId="67FC7FCC" w:rsidR="00E42BD8" w:rsidRDefault="00E42BD8" w:rsidP="00E42BD8">
      <w:pPr>
        <w:pStyle w:val="berschrift3"/>
      </w:pPr>
      <w:bookmarkStart w:id="55" w:name="_Toc151475936"/>
      <w:r>
        <w:t>Einkünfte von Kindern</w:t>
      </w:r>
      <w:bookmarkEnd w:id="55"/>
    </w:p>
    <w:p w14:paraId="6CFE2510" w14:textId="1CC60147" w:rsidR="00E42BD8" w:rsidRDefault="00E42BD8" w:rsidP="00E42BD8">
      <w:r w:rsidRPr="005411CB">
        <w:rPr>
          <w:szCs w:val="22"/>
        </w:rPr>
        <w:t>Analog zur Sozialhilfe sollten grundsätzlich</w:t>
      </w:r>
      <w:r w:rsidRPr="007533E0">
        <w:t xml:space="preserve"> sämtliche Einkünfte der Unterstützungseinheit berücksichtigt werden. Dies bedeutet, dass auch die dem Kind zustehenden Einkünfte mitberücksichtigt werden. Dazu zählen insbesondere Unterhaltsbeiträge, Versicherungsleistungen und auch ein allfälliges Erwerbseinkommen (Lehrlingslohn). Dabei ist allerdings zu berücksichtigen, dass in erster Linie die Eltern für die Unterhaltspflicht der Kinder aufzukommen haben. Die Unterhaltspflicht dauert grundsätzlich bis zur Volljährigkeit des Kindes (Art. 277 Abs. 1 ZGB</w:t>
      </w:r>
      <w:r>
        <w:rPr>
          <w:szCs w:val="22"/>
        </w:rPr>
        <w:t xml:space="preserve">, </w:t>
      </w:r>
      <w:hyperlink r:id="rId17" w:history="1">
        <w:r w:rsidRPr="00115DA2">
          <w:rPr>
            <w:rStyle w:val="Hyperlink"/>
            <w:szCs w:val="22"/>
          </w:rPr>
          <w:t>SR 210</w:t>
        </w:r>
      </w:hyperlink>
      <w:r w:rsidRPr="007533E0">
        <w:t>). Hat das Kind dann noch keine angemessene Ausbildung, so haben die Eltern, soweit es ihnen nach den gesamten Umständen zugemutet werden darf, für seinen Unterhalt aufzukommen, bis eine entsprechende Ausbildung ordentlicherweise abgeschlossen werden kann (Art. 277 Abs. 2 ZGB</w:t>
      </w:r>
      <w:r>
        <w:rPr>
          <w:szCs w:val="22"/>
        </w:rPr>
        <w:t xml:space="preserve">, </w:t>
      </w:r>
      <w:hyperlink r:id="rId18" w:history="1">
        <w:r w:rsidRPr="00115DA2">
          <w:rPr>
            <w:rStyle w:val="Hyperlink"/>
            <w:szCs w:val="22"/>
          </w:rPr>
          <w:t>SR 210</w:t>
        </w:r>
      </w:hyperlink>
      <w:r w:rsidRPr="007533E0">
        <w:t>). Der Arbeitserwerb des minderjährigen Kindes steht unter seiner Verwaltung und Nutzung, auch wenn es zusammen mit seinen Eltern im gleichen Haushalt lebt. Die Eltern sind allerdings von der Unterhaltspflicht in dem Mass befreit, als dem Kind zugemutet werden kann, den Unterhalt aus seinem Arbeitserwerb oder ander</w:t>
      </w:r>
      <w:r w:rsidR="00707E4F">
        <w:t>e</w:t>
      </w:r>
      <w:r w:rsidRPr="007533E0">
        <w:t>n Mitteln zu bestreiten. Was dabei als zumutbar gilt, ist im Einzelfall zu ermitteln, wobei der Beitrag in der Regel 60 – 80 % des (Arbeits-) Einkommens des Kindes nicht überschreiten sollte. Unterhaltsbeiträge sind hingegen vollumfänglich anzurechnen. In entsprechendem Umfang reduziert sich das massgebliche Einkommen der Unterstützungseinheit.</w:t>
      </w:r>
    </w:p>
    <w:p w14:paraId="720E00FF" w14:textId="49A3017A" w:rsidR="003B255B" w:rsidRPr="00E42BD8" w:rsidRDefault="003B255B" w:rsidP="003B255B">
      <w:pPr>
        <w:pStyle w:val="berschrift3"/>
      </w:pPr>
      <w:bookmarkStart w:id="56" w:name="_Toc151475937"/>
      <w:r w:rsidRPr="00D97F4D">
        <w:t>Hypothetisches Einkommen (§ 8 Abs. 2 MBG)</w:t>
      </w:r>
      <w:bookmarkEnd w:id="56"/>
    </w:p>
    <w:p w14:paraId="7342ECD0" w14:textId="59E8FC86" w:rsidR="00923E46" w:rsidRPr="009E1F2F" w:rsidRDefault="00923E46" w:rsidP="00A02AD7">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i/>
        </w:rPr>
      </w:pPr>
      <w:r w:rsidRPr="009E1F2F">
        <w:rPr>
          <w:i/>
        </w:rPr>
        <w:t>Hinweis zur Regelung im Gemeindereglement</w:t>
      </w:r>
      <w:r w:rsidR="00462574">
        <w:rPr>
          <w:i/>
        </w:rPr>
        <w:t xml:space="preserve"> (fakultativ)</w:t>
      </w:r>
      <w:r w:rsidRPr="009E1F2F">
        <w:rPr>
          <w:i/>
        </w:rPr>
        <w:t>:</w:t>
      </w:r>
    </w:p>
    <w:p w14:paraId="06FE7827" w14:textId="76FA3225" w:rsidR="00462574" w:rsidRPr="00462574" w:rsidRDefault="00462574" w:rsidP="00462574">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bCs/>
        </w:rPr>
      </w:pPr>
      <w:r w:rsidRPr="00462574">
        <w:rPr>
          <w:bCs/>
        </w:rPr>
        <w:t xml:space="preserve">Die Gemeinden können festlegen, dass für die Berechnung der Mietzinsbeiträge ein hypothetisches Einkommen einbezogen wird. Unter einem hypothetischen Einkommen ist ein Einkommen zu verstehen, das eine antragstellende Person erzielen könnte, wenn sie ihre Erwerbsfähigkeit bzw. ihre verbleibende Erwerbsfähigkeit soweit zumutbar nützen würde. </w:t>
      </w:r>
    </w:p>
    <w:p w14:paraId="6B5427D6" w14:textId="7A58BCB1" w:rsidR="00462574" w:rsidRPr="00462574" w:rsidRDefault="00462574" w:rsidP="00462574">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bCs/>
        </w:rPr>
      </w:pPr>
      <w:r w:rsidRPr="00462574">
        <w:rPr>
          <w:bCs/>
        </w:rPr>
        <w:t>Falls die Gemeinden ein hypothetisches Einko</w:t>
      </w:r>
      <w:r>
        <w:rPr>
          <w:bCs/>
        </w:rPr>
        <w:t>mmen in der Berechnung des mass</w:t>
      </w:r>
      <w:r w:rsidRPr="00462574">
        <w:rPr>
          <w:bCs/>
        </w:rPr>
        <w:t xml:space="preserve">geblichen Einkommens berücksichtigen möchte, </w:t>
      </w:r>
      <w:r>
        <w:rPr>
          <w:bCs/>
        </w:rPr>
        <w:t>stützt sie sich auf die bundesg</w:t>
      </w:r>
      <w:r w:rsidR="006156F1">
        <w:rPr>
          <w:bCs/>
        </w:rPr>
        <w:t>e</w:t>
      </w:r>
      <w:r w:rsidRPr="00462574">
        <w:rPr>
          <w:bCs/>
        </w:rPr>
        <w:t xml:space="preserve">richtlichen Regeln zur Erwerbstätigkeit (vgl. </w:t>
      </w:r>
      <w:hyperlink r:id="rId19" w:history="1">
        <w:r w:rsidRPr="007D3F9A">
          <w:rPr>
            <w:rStyle w:val="Hyperlink"/>
            <w:bCs/>
          </w:rPr>
          <w:t>Urteil zur Erwerbstätigkeit gemäss Schulstufenmodell des Bundesgerichts</w:t>
        </w:r>
      </w:hyperlink>
      <w:r w:rsidRPr="00462574">
        <w:rPr>
          <w:bCs/>
        </w:rPr>
        <w:t>) ab. Zudem sind die konkreten Umstände zu beachten. So sind verschiedene Konstellationen denkbar, die einen Verzicht auf eine Erhöhung des Arbeitspensums begründen. In solchen Fällen (z.B. Arztzeugnis, Erziehungs- und Betreuungsaufgaben, Dauer der unterrichtsfreien Zeit pro Halbtag, Möglichkeit ausserschulischer Drittbetreuung, Distanz zum Arbeitsort, erhöhte Betreuungslast bei mehreren oder von einer Behin</w:t>
      </w:r>
      <w:r>
        <w:rPr>
          <w:bCs/>
        </w:rPr>
        <w:t>derung betroffenen Kindern</w:t>
      </w:r>
      <w:r w:rsidR="008A012C">
        <w:rPr>
          <w:bCs/>
        </w:rPr>
        <w:t>, eine unmittelbare Erhöhung des Arbeitspensums nicht möglich ist</w:t>
      </w:r>
      <w:r>
        <w:rPr>
          <w:bCs/>
        </w:rPr>
        <w:t>) sol</w:t>
      </w:r>
      <w:r w:rsidRPr="00462574">
        <w:rPr>
          <w:bCs/>
        </w:rPr>
        <w:t>len Mietzinsbeiträge auch dann ausgerichtet werden, wenn die geforderten Arbeitspensen nicht oder in einem geringeren Mass erreicht werden.</w:t>
      </w:r>
    </w:p>
    <w:p w14:paraId="16893B60" w14:textId="7DDF0A31" w:rsidR="00462574" w:rsidRPr="00462574" w:rsidRDefault="00462574" w:rsidP="00462574">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bCs/>
        </w:rPr>
      </w:pPr>
      <w:r w:rsidRPr="00462574">
        <w:rPr>
          <w:bCs/>
        </w:rPr>
        <w:t>Die dahingehenden Details kann die Gemeinde in der Verordnung (siehe Absatz 2), im Reglement oder auf anderem Weg regeln. Auch wenn die Gemeinde auf eine explizite Regelung der Pensen verzichtet, ist die Praxis des Bundesgerichts anzuwenden.</w:t>
      </w:r>
    </w:p>
    <w:p w14:paraId="29B78474" w14:textId="77777777" w:rsidR="00462574" w:rsidRPr="00462574" w:rsidRDefault="00462574" w:rsidP="00462574">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bCs/>
        </w:rPr>
      </w:pPr>
      <w:r w:rsidRPr="00462574">
        <w:rPr>
          <w:bCs/>
        </w:rPr>
        <w:t>Beispiel für eine Regelung basierend auf dem erwähnten Bundesgerichtsurteil:</w:t>
      </w:r>
    </w:p>
    <w:p w14:paraId="006120EC" w14:textId="3BEEC9FC" w:rsidR="00462574" w:rsidRPr="00586B90" w:rsidRDefault="00462574" w:rsidP="00AE65A6">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bCs/>
          <w:i/>
        </w:rPr>
      </w:pPr>
      <w:r w:rsidRPr="00586B90">
        <w:rPr>
          <w:bCs/>
          <w:i/>
        </w:rPr>
        <w:t>«Bei einer alleinigen Obhut gelten grundsätzlich folgende zumutbare Arbeitspensen, jeweils in Bezug auf das jüngste Kind:</w:t>
      </w:r>
    </w:p>
    <w:p w14:paraId="2938BBDA" w14:textId="77777777" w:rsidR="00462574" w:rsidRPr="00586B90" w:rsidRDefault="00462574" w:rsidP="00462574">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bCs/>
          <w:i/>
        </w:rPr>
      </w:pPr>
      <w:r w:rsidRPr="00586B90">
        <w:rPr>
          <w:bCs/>
          <w:i/>
        </w:rPr>
        <w:t xml:space="preserve">Vor obligatorischer Einschulung: 0 % </w:t>
      </w:r>
    </w:p>
    <w:p w14:paraId="008B63EE" w14:textId="77777777" w:rsidR="00462574" w:rsidRPr="00586B90" w:rsidRDefault="00462574" w:rsidP="00462574">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bCs/>
          <w:i/>
        </w:rPr>
      </w:pPr>
      <w:r w:rsidRPr="00586B90">
        <w:rPr>
          <w:bCs/>
          <w:i/>
        </w:rPr>
        <w:t xml:space="preserve">Ab obligatorischer Einschulung: 50 % </w:t>
      </w:r>
    </w:p>
    <w:p w14:paraId="7E855921" w14:textId="77777777" w:rsidR="00462574" w:rsidRPr="00586B90" w:rsidRDefault="00462574" w:rsidP="00462574">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bCs/>
          <w:i/>
        </w:rPr>
      </w:pPr>
      <w:r w:rsidRPr="00586B90">
        <w:rPr>
          <w:bCs/>
          <w:i/>
        </w:rPr>
        <w:t xml:space="preserve">Ab Eintritt in die Sekundarstufe: 80 % </w:t>
      </w:r>
    </w:p>
    <w:p w14:paraId="5CB9459E" w14:textId="77777777" w:rsidR="00462574" w:rsidRPr="00586B90" w:rsidRDefault="00462574" w:rsidP="00462574">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bCs/>
          <w:i/>
        </w:rPr>
      </w:pPr>
      <w:r w:rsidRPr="00586B90">
        <w:rPr>
          <w:bCs/>
          <w:i/>
        </w:rPr>
        <w:t>Ab Vollendung des 16. Lebensjahres: 100 %</w:t>
      </w:r>
    </w:p>
    <w:p w14:paraId="5570EB41" w14:textId="22C82FD4" w:rsidR="0019331A" w:rsidRPr="00586B90" w:rsidRDefault="00462574" w:rsidP="0019331A">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bCs/>
          <w:i/>
        </w:rPr>
      </w:pPr>
      <w:r w:rsidRPr="00586B90">
        <w:rPr>
          <w:bCs/>
          <w:i/>
        </w:rPr>
        <w:t>Bei der Berechnung des hypothetischen Einkommens ist den Lebensumständen der antragstellenden Person bzw. der Unterstützungseinheit Rechnung zu tragen.»</w:t>
      </w:r>
    </w:p>
    <w:p w14:paraId="5DDCA75B" w14:textId="77777777" w:rsidR="008052E9" w:rsidRDefault="008052E9" w:rsidP="008052E9">
      <w:pPr>
        <w:pStyle w:val="berschrift3"/>
      </w:pPr>
      <w:bookmarkStart w:id="57" w:name="_Ref127887073"/>
      <w:bookmarkStart w:id="58" w:name="_Toc151475938"/>
      <w:bookmarkStart w:id="59" w:name="_Hlk52357438"/>
      <w:r>
        <w:t>Anrechnung des Jahresnettoeinkommens</w:t>
      </w:r>
      <w:bookmarkEnd w:id="57"/>
      <w:bookmarkEnd w:id="58"/>
    </w:p>
    <w:p w14:paraId="750D36A8" w14:textId="1956AD68" w:rsidR="008052E9" w:rsidRDefault="008052E9" w:rsidP="008052E9">
      <w:pPr>
        <w:tabs>
          <w:tab w:val="clear" w:pos="5103"/>
          <w:tab w:val="left" w:pos="142"/>
        </w:tabs>
        <w:spacing w:after="120"/>
        <w:jc w:val="both"/>
        <w:rPr>
          <w:rFonts w:cs="Arial"/>
        </w:rPr>
      </w:pPr>
      <w:r w:rsidRPr="00923E46">
        <w:rPr>
          <w:rFonts w:cs="Arial"/>
        </w:rPr>
        <w:t>Das Jahresnettoeinkommen, das 130 % des sozialhilferechtlichen Grundbedarfs entspricht, wird zu 100 % angerechnet. Der Teil des Jahresnettoeinkommens, der 130 % des sozialhilferechtlichen Grundbedarfs übersteigt, wird zu 75 % angerechnet.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63"/>
      </w:tblGrid>
      <w:tr w:rsidR="008052E9" w:rsidRPr="00394B05" w14:paraId="12672B00" w14:textId="77777777" w:rsidTr="006D4B64">
        <w:tc>
          <w:tcPr>
            <w:tcW w:w="6663" w:type="dxa"/>
            <w:shd w:val="clear" w:color="auto" w:fill="EAF1DD" w:themeFill="accent3" w:themeFillTint="33"/>
          </w:tcPr>
          <w:p w14:paraId="16F6BAC1" w14:textId="77777777" w:rsidR="008052E9" w:rsidRPr="00394B05" w:rsidRDefault="008052E9" w:rsidP="005851DB">
            <w:pPr>
              <w:spacing w:after="0"/>
              <w:contextualSpacing/>
              <w:rPr>
                <w:rFonts w:cs="Arial"/>
                <w:i/>
                <w:color w:val="000000"/>
              </w:rPr>
            </w:pPr>
            <w:r w:rsidRPr="00394B05">
              <w:rPr>
                <w:rFonts w:cs="Arial"/>
                <w:i/>
                <w:color w:val="000000"/>
              </w:rPr>
              <w:t>130 % SH-Grundbedarf</w:t>
            </w:r>
          </w:p>
        </w:tc>
      </w:tr>
      <w:tr w:rsidR="008052E9" w:rsidRPr="00394B05" w14:paraId="02EB910F" w14:textId="77777777" w:rsidTr="006D4B64">
        <w:tc>
          <w:tcPr>
            <w:tcW w:w="6663" w:type="dxa"/>
            <w:shd w:val="clear" w:color="auto" w:fill="EAF1DD" w:themeFill="accent3" w:themeFillTint="33"/>
          </w:tcPr>
          <w:p w14:paraId="1AE94AE9" w14:textId="7F0BFA3D" w:rsidR="008052E9" w:rsidRPr="00394B05" w:rsidRDefault="00DD2F3B" w:rsidP="005851DB">
            <w:pPr>
              <w:spacing w:after="0"/>
              <w:contextualSpacing/>
              <w:rPr>
                <w:rFonts w:cs="Arial"/>
                <w:i/>
                <w:color w:val="000000"/>
              </w:rPr>
            </w:pPr>
            <w:r>
              <w:rPr>
                <w:rFonts w:cs="Arial"/>
                <w:i/>
                <w:color w:val="000000"/>
              </w:rPr>
              <w:t xml:space="preserve">+ </w:t>
            </w:r>
            <w:r w:rsidR="008052E9">
              <w:rPr>
                <w:rFonts w:cs="Arial"/>
                <w:i/>
                <w:color w:val="000000"/>
              </w:rPr>
              <w:t>75 % * (J</w:t>
            </w:r>
            <w:r w:rsidR="008052E9" w:rsidRPr="00394B05">
              <w:rPr>
                <w:rFonts w:cs="Arial"/>
                <w:i/>
                <w:color w:val="000000"/>
              </w:rPr>
              <w:t>ahres</w:t>
            </w:r>
            <w:r w:rsidR="008052E9">
              <w:rPr>
                <w:rFonts w:cs="Arial"/>
                <w:i/>
                <w:color w:val="000000"/>
              </w:rPr>
              <w:t>netto</w:t>
            </w:r>
            <w:r w:rsidR="008052E9" w:rsidRPr="00394B05">
              <w:rPr>
                <w:rFonts w:cs="Arial"/>
                <w:i/>
                <w:color w:val="000000"/>
              </w:rPr>
              <w:t>einkommen - 130 % SH-Grundbedarf)</w:t>
            </w:r>
          </w:p>
        </w:tc>
      </w:tr>
      <w:tr w:rsidR="008052E9" w:rsidRPr="00394B05" w14:paraId="0A9D8382" w14:textId="77777777" w:rsidTr="006D4B64">
        <w:tc>
          <w:tcPr>
            <w:tcW w:w="6663" w:type="dxa"/>
            <w:shd w:val="clear" w:color="auto" w:fill="EAF1DD" w:themeFill="accent3" w:themeFillTint="33"/>
          </w:tcPr>
          <w:p w14:paraId="222899B5" w14:textId="51D12180" w:rsidR="008052E9" w:rsidRPr="00394B05" w:rsidRDefault="00DD2F3B" w:rsidP="005851DB">
            <w:pPr>
              <w:spacing w:after="0"/>
              <w:contextualSpacing/>
              <w:rPr>
                <w:rFonts w:cs="Arial"/>
                <w:i/>
                <w:color w:val="000000"/>
              </w:rPr>
            </w:pPr>
            <w:r>
              <w:rPr>
                <w:rFonts w:cs="Arial"/>
                <w:i/>
                <w:color w:val="000000"/>
              </w:rPr>
              <w:t xml:space="preserve">= </w:t>
            </w:r>
            <w:r w:rsidR="008052E9" w:rsidRPr="00394B05">
              <w:rPr>
                <w:rFonts w:cs="Arial"/>
                <w:i/>
                <w:color w:val="000000"/>
              </w:rPr>
              <w:t>Massgebliches Einkommen</w:t>
            </w:r>
          </w:p>
        </w:tc>
      </w:tr>
    </w:tbl>
    <w:p w14:paraId="25091FC1" w14:textId="4A37EA0A" w:rsidR="00DF773E" w:rsidRPr="00F819BC" w:rsidRDefault="00DF773E" w:rsidP="00DF773E">
      <w:pPr>
        <w:pStyle w:val="berschrift2"/>
      </w:pPr>
      <w:bookmarkStart w:id="60" w:name="_Ref129595460"/>
      <w:bookmarkStart w:id="61" w:name="_Toc151475939"/>
      <w:r w:rsidRPr="00A01767">
        <w:rPr>
          <w:bCs/>
        </w:rPr>
        <w:t>Anerkannte</w:t>
      </w:r>
      <w:r w:rsidRPr="00A01767">
        <w:t xml:space="preserve"> Ausgaben</w:t>
      </w:r>
      <w:r w:rsidRPr="00F819BC">
        <w:t xml:space="preserve"> (§ 9 MBG i.V.m. § 5 Vo MBG)</w:t>
      </w:r>
      <w:bookmarkEnd w:id="60"/>
      <w:bookmarkEnd w:id="61"/>
    </w:p>
    <w:p w14:paraId="6A13FB9D" w14:textId="77777777" w:rsidR="00DF773E" w:rsidRPr="002E5195" w:rsidRDefault="00DF773E" w:rsidP="002E5195">
      <w:pPr>
        <w:tabs>
          <w:tab w:val="clear" w:pos="5103"/>
          <w:tab w:val="left" w:pos="142"/>
        </w:tabs>
        <w:spacing w:after="120"/>
        <w:jc w:val="both"/>
        <w:rPr>
          <w:rFonts w:cs="Arial"/>
        </w:rPr>
      </w:pPr>
      <w:r w:rsidRPr="002E5195">
        <w:rPr>
          <w:rFonts w:cs="Arial"/>
        </w:rPr>
        <w:t>Die anerkannten Ausgaben setzen sich wie folgt zusammen:</w:t>
      </w:r>
    </w:p>
    <w:p w14:paraId="1BA8A156" w14:textId="77777777" w:rsidR="00DF773E" w:rsidRPr="00F819BC" w:rsidRDefault="00DF773E" w:rsidP="0076368D">
      <w:pPr>
        <w:numPr>
          <w:ilvl w:val="0"/>
          <w:numId w:val="17"/>
        </w:numPr>
        <w:tabs>
          <w:tab w:val="clear" w:pos="5103"/>
        </w:tabs>
        <w:spacing w:after="120"/>
        <w:ind w:left="567" w:hanging="283"/>
        <w:jc w:val="both"/>
        <w:rPr>
          <w:rFonts w:cs="Arial"/>
        </w:rPr>
      </w:pPr>
      <w:r w:rsidRPr="00F819BC">
        <w:rPr>
          <w:rFonts w:cs="Arial"/>
          <w:highlight w:val="lightGray"/>
        </w:rPr>
        <w:t>Mind. 100</w:t>
      </w:r>
      <w:r>
        <w:rPr>
          <w:rFonts w:cs="Arial"/>
          <w:highlight w:val="lightGray"/>
        </w:rPr>
        <w:t xml:space="preserve"> </w:t>
      </w:r>
      <w:r w:rsidRPr="00F819BC">
        <w:rPr>
          <w:rFonts w:cs="Arial"/>
          <w:highlight w:val="lightGray"/>
        </w:rPr>
        <w:t>%</w:t>
      </w:r>
      <w:r w:rsidRPr="00F819BC">
        <w:rPr>
          <w:rFonts w:cs="Arial"/>
        </w:rPr>
        <w:t xml:space="preserve"> des Grundbedarfs gemäss Sozialhilfegesetzgebung als allgemeinen Lebensbedarf;</w:t>
      </w:r>
    </w:p>
    <w:p w14:paraId="2F4217EA" w14:textId="6C1820B6" w:rsidR="00DF773E" w:rsidRPr="0014337F" w:rsidRDefault="00333B8F" w:rsidP="0076368D">
      <w:pPr>
        <w:numPr>
          <w:ilvl w:val="0"/>
          <w:numId w:val="17"/>
        </w:numPr>
        <w:tabs>
          <w:tab w:val="clear" w:pos="5103"/>
        </w:tabs>
        <w:spacing w:after="120"/>
        <w:ind w:left="567" w:hanging="283"/>
        <w:jc w:val="both"/>
        <w:rPr>
          <w:bCs/>
        </w:rPr>
      </w:pPr>
      <w:r>
        <w:rPr>
          <w:bCs/>
        </w:rPr>
        <w:t xml:space="preserve">Effektive </w:t>
      </w:r>
      <w:r w:rsidR="00DF773E" w:rsidRPr="0014337F">
        <w:rPr>
          <w:bCs/>
        </w:rPr>
        <w:t>Prämien der obligatorischen Krankenpflegeversicherung bis maximal der regionalen Durchschnittsprämien, abzüglich allfälliger Prämienverbilligungen;</w:t>
      </w:r>
    </w:p>
    <w:p w14:paraId="159C4447" w14:textId="5C49C2DB" w:rsidR="00DF773E" w:rsidRPr="0014337F" w:rsidRDefault="00DF773E" w:rsidP="0076368D">
      <w:pPr>
        <w:numPr>
          <w:ilvl w:val="0"/>
          <w:numId w:val="17"/>
        </w:numPr>
        <w:tabs>
          <w:tab w:val="clear" w:pos="5103"/>
        </w:tabs>
        <w:spacing w:after="120"/>
        <w:ind w:left="567" w:hanging="283"/>
        <w:jc w:val="both"/>
        <w:rPr>
          <w:bCs/>
        </w:rPr>
      </w:pPr>
      <w:r w:rsidRPr="0014337F">
        <w:rPr>
          <w:bCs/>
        </w:rPr>
        <w:t>Ef</w:t>
      </w:r>
      <w:r>
        <w:rPr>
          <w:bCs/>
        </w:rPr>
        <w:t>fektive</w:t>
      </w:r>
      <w:r w:rsidRPr="0014337F">
        <w:rPr>
          <w:bCs/>
        </w:rPr>
        <w:t xml:space="preserve"> </w:t>
      </w:r>
      <w:r w:rsidR="00B3724B">
        <w:rPr>
          <w:bCs/>
        </w:rPr>
        <w:t xml:space="preserve">d.h. selbstgetragene </w:t>
      </w:r>
      <w:r w:rsidRPr="0014337F">
        <w:rPr>
          <w:bCs/>
        </w:rPr>
        <w:t>Kosten für</w:t>
      </w:r>
      <w:r>
        <w:rPr>
          <w:bCs/>
        </w:rPr>
        <w:t xml:space="preserve"> die notwendige</w:t>
      </w:r>
      <w:r w:rsidRPr="0014337F">
        <w:rPr>
          <w:bCs/>
        </w:rPr>
        <w:t xml:space="preserve"> familienexterne Kinderbetreuung</w:t>
      </w:r>
      <w:r>
        <w:rPr>
          <w:bCs/>
        </w:rPr>
        <w:t xml:space="preserve"> (aufgrund von Erwerbstätigkeit, Ausbildung, Integrationsmassnahmen, Therapien etc</w:t>
      </w:r>
      <w:r w:rsidR="00333B8F">
        <w:rPr>
          <w:bCs/>
        </w:rPr>
        <w:t>.</w:t>
      </w:r>
      <w:r>
        <w:rPr>
          <w:bCs/>
        </w:rPr>
        <w:t>)</w:t>
      </w:r>
      <w:r w:rsidRPr="0014337F">
        <w:rPr>
          <w:bCs/>
        </w:rPr>
        <w:t>;</w:t>
      </w:r>
    </w:p>
    <w:p w14:paraId="26F40A39" w14:textId="77777777" w:rsidR="00DF773E" w:rsidRPr="00F819BC" w:rsidRDefault="00DF773E" w:rsidP="0076368D">
      <w:pPr>
        <w:pStyle w:val="Listenabsatz"/>
        <w:numPr>
          <w:ilvl w:val="0"/>
          <w:numId w:val="17"/>
        </w:numPr>
        <w:tabs>
          <w:tab w:val="clear" w:pos="5103"/>
        </w:tabs>
        <w:spacing w:after="120"/>
        <w:ind w:left="568" w:hanging="284"/>
        <w:contextualSpacing w:val="0"/>
        <w:jc w:val="both"/>
        <w:rPr>
          <w:rFonts w:cs="Arial"/>
        </w:rPr>
      </w:pPr>
      <w:r w:rsidRPr="00F819BC">
        <w:rPr>
          <w:rFonts w:cs="Arial"/>
        </w:rPr>
        <w:t>A</w:t>
      </w:r>
      <w:r>
        <w:rPr>
          <w:rFonts w:cs="Arial"/>
        </w:rPr>
        <w:t>usgewiesene</w:t>
      </w:r>
      <w:r w:rsidRPr="00F819BC">
        <w:rPr>
          <w:rFonts w:cs="Arial"/>
        </w:rPr>
        <w:t xml:space="preserve"> AHV-Beiträge für Nichterwerbstätige;</w:t>
      </w:r>
    </w:p>
    <w:p w14:paraId="7B38E98C" w14:textId="533D4828" w:rsidR="00DF773E" w:rsidRDefault="00DF773E" w:rsidP="0076368D">
      <w:pPr>
        <w:pStyle w:val="Listenabsatz"/>
        <w:numPr>
          <w:ilvl w:val="0"/>
          <w:numId w:val="17"/>
        </w:numPr>
        <w:tabs>
          <w:tab w:val="clear" w:pos="5103"/>
        </w:tabs>
        <w:spacing w:after="120"/>
        <w:ind w:left="568" w:hanging="284"/>
        <w:contextualSpacing w:val="0"/>
        <w:jc w:val="both"/>
        <w:rPr>
          <w:rFonts w:cs="Arial"/>
        </w:rPr>
      </w:pPr>
      <w:r w:rsidRPr="00F819BC">
        <w:rPr>
          <w:rFonts w:cs="Arial"/>
        </w:rPr>
        <w:t>Sonstige wiederkehrende notwendige Ausgaben</w:t>
      </w:r>
      <w:r>
        <w:rPr>
          <w:rFonts w:cs="Arial"/>
        </w:rPr>
        <w:t xml:space="preserve"> (bspw. </w:t>
      </w:r>
      <w:r w:rsidRPr="00DB159F">
        <w:rPr>
          <w:rFonts w:cs="Arial"/>
        </w:rPr>
        <w:t>Kosten für ein Motorfahrzeug, das aus beruflichen od</w:t>
      </w:r>
      <w:r>
        <w:rPr>
          <w:rFonts w:cs="Arial"/>
        </w:rPr>
        <w:t>er gesundheitlichen Gründen not</w:t>
      </w:r>
      <w:r w:rsidRPr="00DB159F">
        <w:rPr>
          <w:rFonts w:cs="Arial"/>
        </w:rPr>
        <w:t>wendig ist, Aufwendungen für Nachhilfeunterricht, Unterhaltszahlungen, Kosten für eine Therapie</w:t>
      </w:r>
      <w:r>
        <w:rPr>
          <w:rFonts w:cs="Arial"/>
        </w:rPr>
        <w:t>)</w:t>
      </w:r>
      <w:r w:rsidRPr="00F819BC">
        <w:rPr>
          <w:rFonts w:cs="Arial"/>
        </w:rPr>
        <w:t>.</w:t>
      </w:r>
    </w:p>
    <w:p w14:paraId="407266B6" w14:textId="1D8B5C51" w:rsidR="00FE2D63" w:rsidRPr="009E1F2F" w:rsidRDefault="00FE2D63" w:rsidP="00A02AD7">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i/>
        </w:rPr>
      </w:pPr>
      <w:r w:rsidRPr="009E1F2F">
        <w:rPr>
          <w:i/>
        </w:rPr>
        <w:t>Hinweis zur Regelung im Gemeindereglement:</w:t>
      </w:r>
    </w:p>
    <w:p w14:paraId="3C0BB096" w14:textId="06D7F50B" w:rsidR="00B7724D" w:rsidRPr="00B7724D" w:rsidRDefault="00B7724D" w:rsidP="00B7724D">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bCs/>
        </w:rPr>
      </w:pPr>
      <w:r w:rsidRPr="00B7724D">
        <w:rPr>
          <w:bCs/>
        </w:rPr>
        <w:t>Die Gemeinde legt den Faktor fest, mit welchem d</w:t>
      </w:r>
      <w:r>
        <w:rPr>
          <w:bCs/>
        </w:rPr>
        <w:t>er Grundbedarf gemäss Sozialhil</w:t>
      </w:r>
      <w:r w:rsidRPr="00B7724D">
        <w:rPr>
          <w:bCs/>
        </w:rPr>
        <w:t xml:space="preserve">fegesetzgebung (§ 9 Abs. 2 SHV) als allgemeiner Lebensbedarf in die Berechnung der anerkannten Ausgaben einfliesst. Der Faktor entspricht mindestens 100%, kann aber auch 110%, 115 % etc. betragen. </w:t>
      </w:r>
    </w:p>
    <w:p w14:paraId="43FE9579" w14:textId="55343F81" w:rsidR="00412D02" w:rsidRDefault="005F7BFE" w:rsidP="000E70A2">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bCs/>
        </w:rPr>
      </w:pPr>
      <w:r>
        <w:rPr>
          <w:bCs/>
          <w:u w:val="single"/>
        </w:rPr>
        <w:t>Interpretationshilfe</w:t>
      </w:r>
      <w:r>
        <w:rPr>
          <w:bCs/>
        </w:rPr>
        <w:t xml:space="preserve">: </w:t>
      </w:r>
      <w:r w:rsidR="00B7724D" w:rsidRPr="00B7724D">
        <w:rPr>
          <w:bCs/>
        </w:rPr>
        <w:t>Je höher der Faktor ist, desto stärker fallen die Ausgaben bei der Berechnung des tragbaren Masses der Mietzinsbelastung ins Gewicht. Die Mietzinsbeiträge fallen entsprechend höher aus. Den damit verbundenen Mehrkosten stehen Substitutionseffekte bezüg</w:t>
      </w:r>
      <w:r w:rsidR="00B7724D">
        <w:rPr>
          <w:bCs/>
        </w:rPr>
        <w:t>lich der Sozialhilfe gegenüber</w:t>
      </w:r>
      <w:r w:rsidR="00B7724D" w:rsidRPr="00B7724D">
        <w:rPr>
          <w:bCs/>
        </w:rPr>
        <w:t xml:space="preserve">. </w:t>
      </w:r>
      <w:bookmarkStart w:id="62" w:name="_Toc135043350"/>
      <w:bookmarkStart w:id="63" w:name="_Toc135043530"/>
      <w:bookmarkEnd w:id="62"/>
      <w:bookmarkEnd w:id="63"/>
    </w:p>
    <w:p w14:paraId="51648C94" w14:textId="77777777" w:rsidR="00DF773E" w:rsidRPr="00F819BC" w:rsidRDefault="00DF773E" w:rsidP="00DF773E">
      <w:pPr>
        <w:pStyle w:val="berschrift1"/>
      </w:pPr>
      <w:bookmarkStart w:id="64" w:name="_Toc151475940"/>
      <w:bookmarkEnd w:id="59"/>
      <w:r w:rsidRPr="00F819BC">
        <w:t>Vollzugsbestimmungen</w:t>
      </w:r>
      <w:bookmarkEnd w:id="64"/>
    </w:p>
    <w:p w14:paraId="1971F930" w14:textId="77777777" w:rsidR="00DF773E" w:rsidRPr="00F819BC" w:rsidRDefault="00DF773E" w:rsidP="00DF773E">
      <w:pPr>
        <w:pStyle w:val="berschrift2"/>
      </w:pPr>
      <w:bookmarkStart w:id="65" w:name="_Toc151475941"/>
      <w:r w:rsidRPr="00A01767">
        <w:t>Zuständigkeit</w:t>
      </w:r>
      <w:r w:rsidRPr="00F819BC">
        <w:t xml:space="preserve"> (§</w:t>
      </w:r>
      <w:r>
        <w:t xml:space="preserve"> </w:t>
      </w:r>
      <w:r w:rsidRPr="00F819BC">
        <w:t>10 MBG)</w:t>
      </w:r>
      <w:bookmarkEnd w:id="65"/>
    </w:p>
    <w:p w14:paraId="76603AA6" w14:textId="4543FB4C" w:rsidR="00BC2AC9" w:rsidRDefault="002D7A2A" w:rsidP="009A7F3F">
      <w:pPr>
        <w:pStyle w:val="berschrift3"/>
      </w:pPr>
      <w:bookmarkStart w:id="66" w:name="_Toc151475942"/>
      <w:r>
        <w:t>Zuständige Stelle</w:t>
      </w:r>
      <w:bookmarkEnd w:id="66"/>
    </w:p>
    <w:p w14:paraId="6FEE56A5" w14:textId="6B537A60" w:rsidR="00712F1B" w:rsidRPr="00F819BC" w:rsidRDefault="00712F1B" w:rsidP="002E5195">
      <w:pPr>
        <w:tabs>
          <w:tab w:val="clear" w:pos="5103"/>
          <w:tab w:val="left" w:pos="142"/>
        </w:tabs>
        <w:spacing w:after="120"/>
        <w:jc w:val="both"/>
      </w:pPr>
      <w:r w:rsidRPr="00F819BC">
        <w:t xml:space="preserve">Der </w:t>
      </w:r>
      <w:r w:rsidRPr="002E5195">
        <w:rPr>
          <w:rFonts w:cs="Arial"/>
        </w:rPr>
        <w:t>Gemeinderat</w:t>
      </w:r>
      <w:r w:rsidRPr="00F819BC">
        <w:t xml:space="preserve"> delegiert den Erlass der Mietzinsbeitragsverfügungen an </w:t>
      </w:r>
      <w:r w:rsidR="00C3264E">
        <w:t>eine geeignete Stelle</w:t>
      </w:r>
      <w:r w:rsidR="00BC2AC9">
        <w:t xml:space="preserve"> der Gemeindeverwaltung</w:t>
      </w:r>
      <w:r w:rsidR="00C3264E">
        <w:t xml:space="preserve">. Neben dem Erlass der Verfügungen ist diese </w:t>
      </w:r>
      <w:r w:rsidR="00BC2AC9">
        <w:t xml:space="preserve">Stelle </w:t>
      </w:r>
      <w:r w:rsidR="00C3264E">
        <w:t>auch verantwortlich für die Sicherstellung der Information der Einwohnerinnen und Einwohnern zu den Mietzinsbeiträgen (Anspruchsvoraussetzungen und Vorgehen bei Antragsstellung).</w:t>
      </w:r>
    </w:p>
    <w:p w14:paraId="7B0BC3F0" w14:textId="32B2FF8A" w:rsidR="002E5195" w:rsidRPr="009E1F2F" w:rsidRDefault="002E5195" w:rsidP="00A02AD7">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i/>
        </w:rPr>
      </w:pPr>
      <w:r w:rsidRPr="009E1F2F">
        <w:rPr>
          <w:i/>
        </w:rPr>
        <w:t>Hinweis zur Regelung im Gemeindereglement:</w:t>
      </w:r>
    </w:p>
    <w:p w14:paraId="22533931" w14:textId="5ED120A9" w:rsidR="00D1588A" w:rsidRPr="00F159C1" w:rsidRDefault="00D1588A" w:rsidP="002E5195">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bCs/>
          <w:u w:val="single"/>
        </w:rPr>
      </w:pPr>
      <w:r w:rsidRPr="00F159C1">
        <w:rPr>
          <w:u w:val="single"/>
        </w:rPr>
        <w:t>Z</w:t>
      </w:r>
      <w:r w:rsidRPr="00E44618">
        <w:rPr>
          <w:u w:val="single"/>
        </w:rPr>
        <w:t xml:space="preserve">uständige Stelle </w:t>
      </w:r>
      <w:r>
        <w:rPr>
          <w:u w:val="single"/>
        </w:rPr>
        <w:t xml:space="preserve">in </w:t>
      </w:r>
      <w:r w:rsidRPr="00F159C1">
        <w:rPr>
          <w:u w:val="single"/>
        </w:rPr>
        <w:t>der Gemeinde:</w:t>
      </w:r>
    </w:p>
    <w:p w14:paraId="2D7C2CFA" w14:textId="49802D2C" w:rsidR="00D1588A" w:rsidRDefault="002E5195" w:rsidP="00F159C1">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pPr>
      <w:r>
        <w:rPr>
          <w:bCs/>
        </w:rPr>
        <w:t>Die Gemeinde definiert, welche Stelle für den Erlass von Verfügungen über Mietzinsbeiträge in der Gemeinde zuständig ist und hält dies entsprechend im Reglement fest. Dabei kann sie eine eigene Stelle vorsehen oder sich mit anderen Gemeinden auf eine interkommunale Stelle einigen.</w:t>
      </w:r>
    </w:p>
    <w:p w14:paraId="687D706F" w14:textId="2FCC7EE7" w:rsidR="002E5195" w:rsidRPr="00F159C1" w:rsidRDefault="00D1588A" w:rsidP="00F159C1">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u w:val="single"/>
        </w:rPr>
      </w:pPr>
      <w:r w:rsidRPr="00F159C1">
        <w:rPr>
          <w:u w:val="single"/>
        </w:rPr>
        <w:t>Information der Einwohnerinnen und Einwohner</w:t>
      </w:r>
      <w:r w:rsidR="002E5195" w:rsidRPr="00F159C1">
        <w:rPr>
          <w:u w:val="single"/>
        </w:rPr>
        <w:t>:</w:t>
      </w:r>
    </w:p>
    <w:p w14:paraId="32698DBD" w14:textId="78257163" w:rsidR="00C3264E" w:rsidRDefault="002E5195" w:rsidP="002E5195">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pPr>
      <w:r w:rsidRPr="00F819BC">
        <w:t xml:space="preserve">Die </w:t>
      </w:r>
      <w:r w:rsidRPr="00C3264E">
        <w:t>Gemeinde</w:t>
      </w:r>
      <w:r w:rsidRPr="00F819BC">
        <w:t xml:space="preserve"> </w:t>
      </w:r>
      <w:r>
        <w:t xml:space="preserve">legt fest, in welcher Form sie die </w:t>
      </w:r>
      <w:r w:rsidRPr="00F819BC">
        <w:t xml:space="preserve">Einwohnerinnen und Einwohner über die Anspruchsvoraussetzungen und das Vorgehen zur Antragstellung </w:t>
      </w:r>
      <w:r w:rsidR="00071201">
        <w:t>informiert</w:t>
      </w:r>
      <w:r>
        <w:t>.</w:t>
      </w:r>
      <w:r w:rsidR="00C3264E">
        <w:t xml:space="preserve"> Dies kann beispielsweise über ein Merkblatt sowie die nötigen Antragsformulare und ein Eintrag auf der Gemeinde-Webseite erfolgen.</w:t>
      </w:r>
      <w:r w:rsidR="00B7724D">
        <w:t xml:space="preserve"> </w:t>
      </w:r>
      <w:r w:rsidR="00B7724D" w:rsidRPr="00B7724D">
        <w:t>Eine Konkretisierung diesbezüglich im Reglement ist nicht nötig.</w:t>
      </w:r>
    </w:p>
    <w:p w14:paraId="2A39F7CA" w14:textId="7D0B4158" w:rsidR="002E5195" w:rsidRDefault="00C3264E" w:rsidP="002E5195">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pPr>
      <w:r>
        <w:t>Das KSA stellt den Gemeinden Vorlagen für ein Merkblatt und ein Antragsformular zur Verfügung.</w:t>
      </w:r>
    </w:p>
    <w:p w14:paraId="33D6CD52" w14:textId="2B67FD09" w:rsidR="00B7724D" w:rsidRPr="00586B90" w:rsidRDefault="00B7724D" w:rsidP="002E5195">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u w:val="single"/>
        </w:rPr>
      </w:pPr>
      <w:r w:rsidRPr="00586B90">
        <w:rPr>
          <w:u w:val="single"/>
        </w:rPr>
        <w:t>Härtefälle (fakultativ):</w:t>
      </w:r>
    </w:p>
    <w:p w14:paraId="617E47B3" w14:textId="19B38064" w:rsidR="00B7724D" w:rsidRPr="00B7724D" w:rsidRDefault="00B7724D" w:rsidP="00B7724D">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bCs/>
        </w:rPr>
      </w:pPr>
      <w:r w:rsidRPr="00B7724D">
        <w:rPr>
          <w:bCs/>
        </w:rPr>
        <w:t>Auf Stufe MBG und Vo MBG sind nur Härtefälle gemäss § 1 Abs. 3 Vo MBG geregelt, welche eine Erhöhung des Mietzinsbeitrags bis höchstens zum Mietzinsgrenzwert ermöglichen. Die Abrechnung gegenüber dem Kant</w:t>
      </w:r>
      <w:r>
        <w:rPr>
          <w:bCs/>
        </w:rPr>
        <w:t>on erfolgt bei diesen Fällen re</w:t>
      </w:r>
      <w:r w:rsidRPr="00B7724D">
        <w:rPr>
          <w:bCs/>
        </w:rPr>
        <w:t>gulär. Die Gemeinde kann aber auch ohne explizite kantonale Gesetzesgrundlage weitere Härtefälle, bspw. in Bezug auf die An</w:t>
      </w:r>
      <w:r>
        <w:rPr>
          <w:bCs/>
        </w:rPr>
        <w:t>spruchsvoraussetzungen, genehmi</w:t>
      </w:r>
      <w:r w:rsidRPr="00B7724D">
        <w:rPr>
          <w:bCs/>
        </w:rPr>
        <w:t>gen. In diesen Fällen kommt die Gemeinde für die Kosten des Härtefalles auf.</w:t>
      </w:r>
    </w:p>
    <w:p w14:paraId="782D829D" w14:textId="223D026E" w:rsidR="00B7724D" w:rsidRDefault="00B7724D" w:rsidP="00B7724D">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bCs/>
        </w:rPr>
      </w:pPr>
      <w:r w:rsidRPr="00B7724D">
        <w:rPr>
          <w:bCs/>
        </w:rPr>
        <w:t>Die Gemeinden können die Kompetenz zum E</w:t>
      </w:r>
      <w:r>
        <w:rPr>
          <w:bCs/>
        </w:rPr>
        <w:t>ntscheid über Härtefälle dem Ge</w:t>
      </w:r>
      <w:r w:rsidRPr="00B7724D">
        <w:rPr>
          <w:bCs/>
        </w:rPr>
        <w:t>meinderat oder der Verwaltung übertragen. Da die Entscheide der Verwaltung an den Gemeinderat weitergezogen werden können (§ 10), erscheint die Delegation an die Verwaltung sinnvoll, zumal der Gemeinderat im Beschwerdeverfahren als letzte Instanz entscheidet. Denkbar ist, dass die Verwaltung Härtefälle gutheisst, von denen der Gemeinderat keine Kenntnis hat. Wenn man diese Möglichkeit ausschliessen will, dann empfiehlt sich von einer Delegation an die Verwaltung abzusehen.</w:t>
      </w:r>
    </w:p>
    <w:p w14:paraId="76B4C782" w14:textId="1B96AB82" w:rsidR="00DF773E" w:rsidRDefault="00DF773E" w:rsidP="00DF773E">
      <w:pPr>
        <w:pStyle w:val="berschrift2"/>
      </w:pPr>
      <w:bookmarkStart w:id="67" w:name="_Toc151475943"/>
      <w:r w:rsidRPr="00A01767">
        <w:rPr>
          <w:bCs/>
        </w:rPr>
        <w:t>Verfahren</w:t>
      </w:r>
      <w:r w:rsidRPr="00F819BC">
        <w:t xml:space="preserve"> (§ 11 MBG)</w:t>
      </w:r>
      <w:bookmarkEnd w:id="67"/>
    </w:p>
    <w:p w14:paraId="7E3E55A4" w14:textId="62E93EB7" w:rsidR="004A24A8" w:rsidRDefault="004A24A8" w:rsidP="004A24A8">
      <w:pPr>
        <w:pStyle w:val="Traktandum"/>
        <w:ind w:left="0"/>
      </w:pPr>
      <w:r>
        <w:t>Die Gemeinde legt die Grundsätze zum Verfahren fest. Die Begründung, Aufhebung oder Änderung von Rechten und Pflichten erfolgt</w:t>
      </w:r>
      <w:r w:rsidR="008C198B">
        <w:t xml:space="preserve"> dabei</w:t>
      </w:r>
      <w:r>
        <w:t xml:space="preserve"> in Form von Verfügungen, welche durch Einsprache anfechtbar sind.</w:t>
      </w:r>
      <w:r w:rsidR="006979A0">
        <w:t xml:space="preserve"> </w:t>
      </w:r>
      <w:r w:rsidR="006979A0" w:rsidRPr="006979A0">
        <w:t>Dabei sind die Bestimmungen des Verwaltungsverfahrensgesetzes (VwVG BL,</w:t>
      </w:r>
      <w:hyperlink r:id="rId20" w:history="1">
        <w:r w:rsidR="006979A0" w:rsidRPr="006979A0">
          <w:rPr>
            <w:rStyle w:val="Hyperlink"/>
          </w:rPr>
          <w:t xml:space="preserve"> SGS 175</w:t>
        </w:r>
      </w:hyperlink>
      <w:r w:rsidR="006979A0" w:rsidRPr="006979A0">
        <w:t>) zu berücksichtigen.</w:t>
      </w:r>
    </w:p>
    <w:p w14:paraId="5CED0354" w14:textId="18E7085D" w:rsidR="00E44618" w:rsidRPr="009E1F2F" w:rsidRDefault="00E44618" w:rsidP="009E1F2F">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bCs/>
          <w:i/>
        </w:rPr>
      </w:pPr>
      <w:r w:rsidRPr="009E1F2F">
        <w:rPr>
          <w:bCs/>
          <w:i/>
        </w:rPr>
        <w:t>Hinweis</w:t>
      </w:r>
      <w:r w:rsidRPr="009E1F2F">
        <w:rPr>
          <w:i/>
        </w:rPr>
        <w:t xml:space="preserve"> zur Regelung im Gemeindereglement</w:t>
      </w:r>
      <w:r w:rsidR="005828EB">
        <w:rPr>
          <w:i/>
        </w:rPr>
        <w:t>:</w:t>
      </w:r>
    </w:p>
    <w:p w14:paraId="017A40FF" w14:textId="794B2010" w:rsidR="00E44618" w:rsidRPr="00F159C1" w:rsidRDefault="00071201" w:rsidP="00F65254">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bCs/>
          <w:u w:val="single"/>
        </w:rPr>
      </w:pPr>
      <w:r>
        <w:rPr>
          <w:bCs/>
        </w:rPr>
        <w:t>Die Gemeinde ist bei der Definition des Verfahrens relativ frei. Folgende Punkte sind dabei zwingend im Reglement festzulegen:</w:t>
      </w:r>
    </w:p>
    <w:p w14:paraId="69515173" w14:textId="455EE348" w:rsidR="00071201" w:rsidRPr="00F159C1" w:rsidRDefault="00071201" w:rsidP="00F159C1">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u w:val="single"/>
        </w:rPr>
      </w:pPr>
      <w:r w:rsidRPr="00F159C1">
        <w:rPr>
          <w:u w:val="single"/>
        </w:rPr>
        <w:t>Beginn der Beitragsberechtigung</w:t>
      </w:r>
    </w:p>
    <w:p w14:paraId="396769D4" w14:textId="326BE3A0" w:rsidR="00E44618" w:rsidRDefault="006979A0" w:rsidP="003A769C">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pPr>
      <w:r>
        <w:rPr>
          <w:bCs/>
        </w:rPr>
        <w:t>Die Gemeinde definiert den Beginn der Beitragsberechtigung. Diese</w:t>
      </w:r>
      <w:r w:rsidR="002D7A2A">
        <w:rPr>
          <w:bCs/>
        </w:rPr>
        <w:t>r</w:t>
      </w:r>
      <w:r>
        <w:rPr>
          <w:bCs/>
        </w:rPr>
        <w:t xml:space="preserve"> kann bspw. definiert sein als der erste Tag des Monats, in dem alle Unterlagen vorliegen.</w:t>
      </w:r>
    </w:p>
    <w:p w14:paraId="1B0E474B" w14:textId="51485668" w:rsidR="00071201" w:rsidRPr="00F159C1" w:rsidRDefault="006E143B" w:rsidP="003A769C">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u w:val="single"/>
        </w:rPr>
      </w:pPr>
      <w:r>
        <w:rPr>
          <w:u w:val="single"/>
        </w:rPr>
        <w:t>Dauer der Beitragsberechtigung</w:t>
      </w:r>
    </w:p>
    <w:p w14:paraId="742D2603" w14:textId="31038D70" w:rsidR="00E44618" w:rsidRDefault="006979A0" w:rsidP="003A769C">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pPr>
      <w:r>
        <w:rPr>
          <w:bCs/>
        </w:rPr>
        <w:t>Die Gemeinde definiert die Dauer der Beitragsberechtigung. Sie nimmt dabei Bezug auf die Verfügung sowie allfällige beitragsrelevante Veränderungen der Verhältnisse.</w:t>
      </w:r>
    </w:p>
    <w:p w14:paraId="40BBC6CD" w14:textId="27B8D276" w:rsidR="00071201" w:rsidRPr="00F159C1" w:rsidRDefault="00071201" w:rsidP="003A769C">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u w:val="single"/>
        </w:rPr>
      </w:pPr>
      <w:r w:rsidRPr="00F159C1">
        <w:rPr>
          <w:u w:val="single"/>
        </w:rPr>
        <w:t>Gesuche um Fortsetzung der Au</w:t>
      </w:r>
      <w:r w:rsidR="006E143B">
        <w:rPr>
          <w:u w:val="single"/>
        </w:rPr>
        <w:t>srichtung von Mietzinsbeiträgen</w:t>
      </w:r>
    </w:p>
    <w:p w14:paraId="1B7A891A" w14:textId="16CD6D8C" w:rsidR="0035598B" w:rsidRDefault="0035598B" w:rsidP="00F65254">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bCs/>
        </w:rPr>
      </w:pPr>
      <w:r>
        <w:rPr>
          <w:bCs/>
        </w:rPr>
        <w:t>Die Gemeinde definiert eine Frist, bis wann Gesuche um Fortsetzung der Ausrichtung von Mietzinsbeitr</w:t>
      </w:r>
      <w:r w:rsidR="00663887">
        <w:rPr>
          <w:bCs/>
        </w:rPr>
        <w:t>ägen eingereicht werden müssen und unter welchen Bedingungen eine rückwirkende Gutheissung erfolgt.</w:t>
      </w:r>
    </w:p>
    <w:p w14:paraId="09F051A4" w14:textId="7F6E0619" w:rsidR="00F65254" w:rsidRDefault="0035598B" w:rsidP="00F65254">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bCs/>
        </w:rPr>
      </w:pPr>
      <w:r>
        <w:rPr>
          <w:bCs/>
        </w:rPr>
        <w:t xml:space="preserve">Die Gemeinden sollen </w:t>
      </w:r>
      <w:r w:rsidR="002D7A2A">
        <w:rPr>
          <w:bCs/>
        </w:rPr>
        <w:t xml:space="preserve">die </w:t>
      </w:r>
      <w:r>
        <w:rPr>
          <w:bCs/>
        </w:rPr>
        <w:t xml:space="preserve">Bezügerinnen und Bezüger </w:t>
      </w:r>
      <w:r w:rsidR="002D7A2A">
        <w:rPr>
          <w:bCs/>
        </w:rPr>
        <w:t xml:space="preserve">jeweils frühzeitig </w:t>
      </w:r>
      <w:r>
        <w:rPr>
          <w:bCs/>
        </w:rPr>
        <w:t>in geeigneter Form (bspw. mittels Versand des Gesuchformulars) auf die Anforderungen zur Fortsetzung ihres Anspruchs informieren.</w:t>
      </w:r>
    </w:p>
    <w:p w14:paraId="687A16FA" w14:textId="2175248F" w:rsidR="00B7724D" w:rsidRDefault="00B7724D" w:rsidP="00DF773E">
      <w:pPr>
        <w:pStyle w:val="berschrift2"/>
      </w:pPr>
      <w:bookmarkStart w:id="68" w:name="_Toc151475944"/>
      <w:r>
        <w:t>Auszahlung</w:t>
      </w:r>
      <w:bookmarkEnd w:id="68"/>
    </w:p>
    <w:p w14:paraId="75319D0E" w14:textId="3543EA4E" w:rsidR="00741093" w:rsidRDefault="00741093" w:rsidP="00741093">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i/>
        </w:rPr>
      </w:pPr>
      <w:r w:rsidRPr="009E1F2F">
        <w:rPr>
          <w:bCs/>
          <w:i/>
        </w:rPr>
        <w:t>Hinweis</w:t>
      </w:r>
      <w:r w:rsidRPr="009E1F2F">
        <w:rPr>
          <w:i/>
        </w:rPr>
        <w:t xml:space="preserve"> zur Regelung im Gemeindereglement</w:t>
      </w:r>
      <w:r>
        <w:rPr>
          <w:i/>
        </w:rPr>
        <w:t>:</w:t>
      </w:r>
    </w:p>
    <w:p w14:paraId="09807E51" w14:textId="109AF437" w:rsidR="00741093" w:rsidRPr="00586B90" w:rsidRDefault="00741093" w:rsidP="00741093">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u w:val="single"/>
        </w:rPr>
      </w:pPr>
      <w:r>
        <w:rPr>
          <w:u w:val="single"/>
        </w:rPr>
        <w:t>Auszahlungsmodalitäten</w:t>
      </w:r>
    </w:p>
    <w:p w14:paraId="5F736E36" w14:textId="4AC3076A" w:rsidR="00741093" w:rsidRPr="00586B90" w:rsidRDefault="00741093" w:rsidP="00741093">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bCs/>
        </w:rPr>
      </w:pPr>
      <w:r w:rsidRPr="00586B90">
        <w:rPr>
          <w:bCs/>
        </w:rPr>
        <w:t xml:space="preserve">Die Gemeinde kann Auszahlungsmodalitäten im Reglement festlegen. Dies ist nicht zwingend nötig, schafft aber Klarheit und bringt Transparenz. </w:t>
      </w:r>
      <w:r>
        <w:rPr>
          <w:bCs/>
        </w:rPr>
        <w:t>Die Auszahlung kann beispielsweise jeweils auf Monatsende erfolgen.</w:t>
      </w:r>
    </w:p>
    <w:p w14:paraId="1C5D9D83" w14:textId="77777777" w:rsidR="00741093" w:rsidRPr="00586B90" w:rsidRDefault="00741093" w:rsidP="00741093">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bCs/>
          <w:u w:val="single"/>
        </w:rPr>
      </w:pPr>
      <w:r w:rsidRPr="00586B90">
        <w:rPr>
          <w:bCs/>
          <w:u w:val="single"/>
        </w:rPr>
        <w:t>Auszahlung an die Vermieterschaft</w:t>
      </w:r>
    </w:p>
    <w:p w14:paraId="6EE615D2" w14:textId="12B0B0F7" w:rsidR="00741093" w:rsidRPr="00586B90" w:rsidRDefault="00741093" w:rsidP="00741093">
      <w:pPr>
        <w:pBdr>
          <w:top w:val="single" w:sz="4" w:space="1" w:color="auto"/>
          <w:left w:val="single" w:sz="4" w:space="1" w:color="auto"/>
          <w:bottom w:val="single" w:sz="4" w:space="1" w:color="auto"/>
          <w:right w:val="single" w:sz="4" w:space="1" w:color="auto"/>
        </w:pBdr>
        <w:shd w:val="clear" w:color="auto" w:fill="F2F2F2" w:themeFill="background1" w:themeFillShade="F2"/>
        <w:tabs>
          <w:tab w:val="clear" w:pos="5103"/>
        </w:tabs>
        <w:spacing w:after="120"/>
        <w:jc w:val="both"/>
        <w:rPr>
          <w:bCs/>
        </w:rPr>
      </w:pPr>
      <w:r w:rsidRPr="00586B90">
        <w:rPr>
          <w:bCs/>
        </w:rPr>
        <w:t>Ob man die Überweisung direkt an die Vermieterschaft – bei Einverständnis der Bezugsberechtigten – anbieten will oder nicht</w:t>
      </w:r>
      <w:r w:rsidRPr="00AE65A6">
        <w:rPr>
          <w:bCs/>
        </w:rPr>
        <w:t>, muss jede Gemeinde selbst ent</w:t>
      </w:r>
      <w:r w:rsidRPr="00586B90">
        <w:rPr>
          <w:bCs/>
        </w:rPr>
        <w:t>scheiden. Die Gemeinde kann das Vorgehen im Reglement oder in der Verordnung regeln. Aufgrund des einzuholenden Einverständnisses der Bezugsberechtigten ist auch eine Umsetzung ohne explizite Regelung in Reglement oder Verordnung möglich.</w:t>
      </w:r>
    </w:p>
    <w:p w14:paraId="16ABE86D" w14:textId="49193E5B" w:rsidR="00DF773E" w:rsidRDefault="00DF773E" w:rsidP="00DF773E">
      <w:pPr>
        <w:pStyle w:val="berschrift2"/>
      </w:pPr>
      <w:bookmarkStart w:id="69" w:name="_Toc151475945"/>
      <w:r w:rsidRPr="001C4E2C">
        <w:rPr>
          <w:bCs/>
        </w:rPr>
        <w:t>Mitwirkung</w:t>
      </w:r>
      <w:r w:rsidRPr="00F819BC">
        <w:t xml:space="preserve"> (§ 12 MBG)</w:t>
      </w:r>
      <w:bookmarkEnd w:id="69"/>
    </w:p>
    <w:p w14:paraId="703FCC84" w14:textId="75081CE9" w:rsidR="00523CD5" w:rsidRDefault="00523CD5" w:rsidP="00E44618">
      <w:pPr>
        <w:pStyle w:val="berschrift3"/>
      </w:pPr>
      <w:bookmarkStart w:id="70" w:name="_Toc151475946"/>
      <w:r>
        <w:t>Mitwirkungspflicht</w:t>
      </w:r>
      <w:bookmarkEnd w:id="70"/>
    </w:p>
    <w:p w14:paraId="531725F9" w14:textId="67C6800F" w:rsidR="00C67415" w:rsidRPr="00C67415" w:rsidRDefault="00C67415" w:rsidP="00C67415">
      <w:pPr>
        <w:pStyle w:val="Traktandum"/>
        <w:ind w:left="0"/>
      </w:pPr>
      <w:r w:rsidRPr="00C67415">
        <w:t>Wenn die antragstellende Person die Mitwirkung verweigert oder Unterlagen auch nach gesetzter Frist nicht vollständig einreicht, muss die Gemeinde nicht auf den Antrag eintreten. Die Gemeinden dürfen die fehlenden Informationen nicht bei Dritten einholen</w:t>
      </w:r>
      <w:r>
        <w:t>. Im Fall einer bereits lau</w:t>
      </w:r>
      <w:r w:rsidRPr="00C67415">
        <w:t>fenden Unterstützung können die Beiträge eingestellt werden, sollte die unterstützte P</w:t>
      </w:r>
      <w:r w:rsidR="006B7CB4">
        <w:t>erson die Mitwirkung verweigern</w:t>
      </w:r>
      <w:r w:rsidRPr="00C67415">
        <w:t>.</w:t>
      </w:r>
    </w:p>
    <w:p w14:paraId="62522F61" w14:textId="2EF66EA5" w:rsidR="00523CD5" w:rsidRDefault="00523CD5" w:rsidP="00137FA8">
      <w:pPr>
        <w:pStyle w:val="berschrift3"/>
      </w:pPr>
      <w:bookmarkStart w:id="71" w:name="_Toc151475947"/>
      <w:r>
        <w:t>Information bezüglich beitragsrele</w:t>
      </w:r>
      <w:r w:rsidR="006B7CB4">
        <w:t>vanten Veränderungen</w:t>
      </w:r>
      <w:bookmarkEnd w:id="71"/>
    </w:p>
    <w:p w14:paraId="170A2B59" w14:textId="7529DEB8" w:rsidR="00DF773E" w:rsidRPr="0014337F" w:rsidRDefault="00DF773E" w:rsidP="00C67415">
      <w:pPr>
        <w:tabs>
          <w:tab w:val="clear" w:pos="5103"/>
          <w:tab w:val="left" w:pos="142"/>
        </w:tabs>
        <w:spacing w:after="120"/>
        <w:jc w:val="both"/>
      </w:pPr>
      <w:r w:rsidRPr="00F819BC">
        <w:t xml:space="preserve">Bezügerinnen und Bezüger von Mietzinsbeiträgen sind </w:t>
      </w:r>
      <w:r w:rsidRPr="00C67415">
        <w:t>verpflichtet, der zuständigen Abteilung der Gemeindeverwaltung jede Änderung einer für die grundsätzlich</w:t>
      </w:r>
      <w:r w:rsidRPr="0014337F">
        <w:t xml:space="preserve">e Bezugsberechtigung oder die Höhe der Bezüge erheblichen Tatsache innert </w:t>
      </w:r>
      <w:r>
        <w:t>30 Tagen</w:t>
      </w:r>
      <w:r w:rsidRPr="0014337F">
        <w:t xml:space="preserve"> mitzuteilen.</w:t>
      </w:r>
    </w:p>
    <w:p w14:paraId="7C2DB265" w14:textId="77777777" w:rsidR="00DF773E" w:rsidRPr="0014337F" w:rsidRDefault="00DF773E" w:rsidP="00DF773E">
      <w:pPr>
        <w:pStyle w:val="berschrift2"/>
      </w:pPr>
      <w:bookmarkStart w:id="72" w:name="_Toc151475948"/>
      <w:r w:rsidRPr="001C4E2C">
        <w:t>Auszahlung</w:t>
      </w:r>
      <w:bookmarkEnd w:id="72"/>
    </w:p>
    <w:p w14:paraId="0021CE52" w14:textId="5B99C1FE" w:rsidR="00DF773E" w:rsidRPr="0014337F" w:rsidRDefault="00523CD5" w:rsidP="00523CD5">
      <w:pPr>
        <w:tabs>
          <w:tab w:val="clear" w:pos="5103"/>
          <w:tab w:val="left" w:pos="284"/>
        </w:tabs>
        <w:spacing w:after="120"/>
        <w:jc w:val="both"/>
      </w:pPr>
      <w:r>
        <w:t xml:space="preserve">Die Gemeinden sind frei bei der Ausgestaltung der Auszahlungsmodalitäten. Da auch die Miete monatlich beglichen werden muss, ist eine monatliche Auszahlung der Mietzinsbeiträge im Sinne des Gesetzes. </w:t>
      </w:r>
    </w:p>
    <w:p w14:paraId="2BF4DC8F" w14:textId="77777777" w:rsidR="00DF773E" w:rsidRPr="0014337F" w:rsidRDefault="00DF773E" w:rsidP="00DF773E">
      <w:pPr>
        <w:pStyle w:val="berschrift2"/>
      </w:pPr>
      <w:bookmarkStart w:id="73" w:name="_Toc151475949"/>
      <w:r w:rsidRPr="001C4E2C">
        <w:t>Rückerstattung</w:t>
      </w:r>
      <w:r w:rsidRPr="0014337F">
        <w:t xml:space="preserve"> (§ 13 MBG)</w:t>
      </w:r>
      <w:bookmarkEnd w:id="73"/>
    </w:p>
    <w:p w14:paraId="6BBE1956" w14:textId="654DD68A" w:rsidR="00DF773E" w:rsidRPr="0014337F" w:rsidRDefault="00DF773E" w:rsidP="00172922">
      <w:pPr>
        <w:tabs>
          <w:tab w:val="clear" w:pos="5103"/>
          <w:tab w:val="left" w:pos="142"/>
        </w:tabs>
        <w:spacing w:after="120"/>
        <w:jc w:val="both"/>
      </w:pPr>
      <w:r w:rsidRPr="0014337F">
        <w:t xml:space="preserve">Rechtmässig bezogene Mietzinsbeiträge sind grundsätzlich nicht rückerstattungspflichtig. </w:t>
      </w:r>
      <w:r w:rsidR="00172922" w:rsidRPr="00172922">
        <w:rPr>
          <w:szCs w:val="22"/>
        </w:rPr>
        <w:t>Sollten im Nachhinein gesetzliche oder vertragliche Leistungen Dritter fliessen, sind die bezogenen Mitzinsbeiträge für diesen Zeitraum in entsprechendem Umfang zurückzuerstatten. Dies kann beispielsweise der Fall sein, wenn eine IV-Rente rückwirkend gesprochen wird.</w:t>
      </w:r>
    </w:p>
    <w:p w14:paraId="632D3C50" w14:textId="0E9023A3" w:rsidR="00DF773E" w:rsidRPr="00F819BC" w:rsidRDefault="00DF773E" w:rsidP="00172922">
      <w:pPr>
        <w:tabs>
          <w:tab w:val="clear" w:pos="5103"/>
          <w:tab w:val="left" w:pos="142"/>
        </w:tabs>
        <w:spacing w:after="120"/>
        <w:jc w:val="both"/>
      </w:pPr>
      <w:r w:rsidRPr="0014337F">
        <w:t>Wer durch unwahre oder unvollständige Angaben oder in anderer Weise die unrechtmässige Ausrichtung von Mietzinsbeiträgen erwirkt, hat die zu Unrecht bezogenen Mietzinsbeiträge zurückzuerstatten.</w:t>
      </w:r>
    </w:p>
    <w:p w14:paraId="596FC1EC" w14:textId="77777777" w:rsidR="00DF773E" w:rsidRPr="00F819BC" w:rsidRDefault="00DF773E" w:rsidP="00DF773E">
      <w:pPr>
        <w:pStyle w:val="berschrift2"/>
      </w:pPr>
      <w:bookmarkStart w:id="74" w:name="_Toc151475950"/>
      <w:r w:rsidRPr="001C4E2C">
        <w:t>Rechtsmittel</w:t>
      </w:r>
      <w:r w:rsidRPr="00F819BC">
        <w:t xml:space="preserve"> (§ 11 MBG)</w:t>
      </w:r>
      <w:bookmarkEnd w:id="74"/>
    </w:p>
    <w:p w14:paraId="2DE0A781" w14:textId="648313BB" w:rsidR="00172922" w:rsidRDefault="00172922" w:rsidP="00172922">
      <w:pPr>
        <w:pStyle w:val="Traktandum"/>
        <w:ind w:left="0"/>
      </w:pPr>
      <w:r>
        <w:rPr>
          <w:szCs w:val="22"/>
        </w:rPr>
        <w:t>Die erstinstanzlichen Verfügungen de</w:t>
      </w:r>
      <w:r w:rsidR="00387A2E">
        <w:rPr>
          <w:szCs w:val="22"/>
        </w:rPr>
        <w:t>s Gemeinderats</w:t>
      </w:r>
      <w:r>
        <w:rPr>
          <w:szCs w:val="22"/>
        </w:rPr>
        <w:t xml:space="preserve"> sind mittels Einsprache</w:t>
      </w:r>
      <w:r w:rsidR="00741093">
        <w:rPr>
          <w:szCs w:val="22"/>
        </w:rPr>
        <w:t xml:space="preserve"> </w:t>
      </w:r>
      <w:r w:rsidR="00387A2E">
        <w:rPr>
          <w:szCs w:val="22"/>
        </w:rPr>
        <w:t xml:space="preserve">beim Gemeinderat anfechtbar. Die erstinstanzlichen Verfügungen durch die Gemeindeverwaltung oder Sozialhilfebehörde sind mittels </w:t>
      </w:r>
      <w:r w:rsidR="00741093">
        <w:rPr>
          <w:szCs w:val="22"/>
        </w:rPr>
        <w:t xml:space="preserve">Beschwerde </w:t>
      </w:r>
      <w:r w:rsidR="00D75289">
        <w:rPr>
          <w:szCs w:val="22"/>
        </w:rPr>
        <w:t xml:space="preserve">beim Gemeinderat </w:t>
      </w:r>
      <w:r>
        <w:rPr>
          <w:szCs w:val="22"/>
        </w:rPr>
        <w:t xml:space="preserve">anfechtbar. Erst wenn der kommunale Rechtsmittelweg ausgeschöpft ist, ist ein Rechtmittel an die kantonale Instanz möglich. </w:t>
      </w:r>
      <w:r w:rsidRPr="006979A0">
        <w:t>Dabei sind die Bestimmungen des Verwaltungsverfahrensgesetzes (VwVG BL,</w:t>
      </w:r>
      <w:hyperlink r:id="rId21" w:history="1">
        <w:r w:rsidRPr="006979A0">
          <w:rPr>
            <w:rStyle w:val="Hyperlink"/>
          </w:rPr>
          <w:t xml:space="preserve"> SGS 175</w:t>
        </w:r>
      </w:hyperlink>
      <w:r w:rsidRPr="006979A0">
        <w:t>) zu berücksichtigen.</w:t>
      </w:r>
    </w:p>
    <w:p w14:paraId="516289C8" w14:textId="27E99268" w:rsidR="003927D8" w:rsidRDefault="000608D5" w:rsidP="00DF773E">
      <w:pPr>
        <w:pStyle w:val="berschrift1"/>
      </w:pPr>
      <w:bookmarkStart w:id="75" w:name="_Toc135043541"/>
      <w:bookmarkStart w:id="76" w:name="_Toc151475951"/>
      <w:bookmarkEnd w:id="75"/>
      <w:r>
        <w:t>Finanzierung</w:t>
      </w:r>
      <w:r w:rsidR="00A12361">
        <w:t xml:space="preserve"> </w:t>
      </w:r>
      <w:r w:rsidR="00A25316">
        <w:t>(§ 14 i.V.m. Vo MBG § 6)</w:t>
      </w:r>
      <w:bookmarkEnd w:id="76"/>
    </w:p>
    <w:p w14:paraId="23CA5908" w14:textId="403DDD4A" w:rsidR="0008406C" w:rsidRDefault="0008406C" w:rsidP="009A7F3F">
      <w:pPr>
        <w:pStyle w:val="berschrift2"/>
      </w:pPr>
      <w:bookmarkStart w:id="77" w:name="_Toc151475952"/>
      <w:r>
        <w:t>Kostenträger</w:t>
      </w:r>
      <w:bookmarkEnd w:id="77"/>
    </w:p>
    <w:p w14:paraId="25FC22FD" w14:textId="67CDF180" w:rsidR="008F1AF9" w:rsidRDefault="008F1AF9" w:rsidP="008F1AF9">
      <w:pPr>
        <w:rPr>
          <w:szCs w:val="22"/>
        </w:rPr>
      </w:pPr>
      <w:r>
        <w:t xml:space="preserve">Die Mietzinsbeiträge werden durch Gemeinde- und Kantonsfinanzen gedeckt. </w:t>
      </w:r>
      <w:r>
        <w:rPr>
          <w:szCs w:val="22"/>
        </w:rPr>
        <w:t>Der Vollzug und die Ausrichtung der Mietzinsbeiträge fällt in den Aufgabenbereich der Gemeinden. Sie tragen die Kosten dafür vollständig. Der Kanton beteiligt sich an den ausgerichteten Mietzinsbeiträge</w:t>
      </w:r>
      <w:r w:rsidR="006B7CB4">
        <w:rPr>
          <w:szCs w:val="22"/>
        </w:rPr>
        <w:t>n</w:t>
      </w:r>
      <w:r>
        <w:rPr>
          <w:szCs w:val="22"/>
        </w:rPr>
        <w:t xml:space="preserve">. </w:t>
      </w:r>
      <w:r w:rsidR="00661310">
        <w:rPr>
          <w:szCs w:val="22"/>
        </w:rPr>
        <w:t xml:space="preserve">Den </w:t>
      </w:r>
      <w:r>
        <w:rPr>
          <w:szCs w:val="22"/>
        </w:rPr>
        <w:t>Betrag</w:t>
      </w:r>
      <w:r w:rsidR="00E13097">
        <w:rPr>
          <w:szCs w:val="22"/>
        </w:rPr>
        <w:t xml:space="preserve"> pro Gemeinde</w:t>
      </w:r>
      <w:r>
        <w:rPr>
          <w:szCs w:val="22"/>
        </w:rPr>
        <w:t xml:space="preserve"> </w:t>
      </w:r>
      <w:r w:rsidR="00661310">
        <w:rPr>
          <w:szCs w:val="22"/>
        </w:rPr>
        <w:t>legt er</w:t>
      </w:r>
      <w:r>
        <w:rPr>
          <w:szCs w:val="22"/>
        </w:rPr>
        <w:t xml:space="preserve"> jährlich </w:t>
      </w:r>
      <w:r w:rsidR="00661310">
        <w:rPr>
          <w:szCs w:val="22"/>
        </w:rPr>
        <w:t xml:space="preserve">auf Basis der </w:t>
      </w:r>
      <w:r w:rsidR="00A12361">
        <w:rPr>
          <w:szCs w:val="22"/>
        </w:rPr>
        <w:t xml:space="preserve">Durchführung eines Controllings </w:t>
      </w:r>
      <w:r w:rsidR="00661310">
        <w:rPr>
          <w:szCs w:val="22"/>
        </w:rPr>
        <w:t xml:space="preserve">fest und zahlt ihn </w:t>
      </w:r>
      <w:r>
        <w:rPr>
          <w:szCs w:val="22"/>
        </w:rPr>
        <w:t>an die Gemeinden aus.</w:t>
      </w:r>
    </w:p>
    <w:p w14:paraId="55E3B82C" w14:textId="075B8EA8" w:rsidR="008F1AF9" w:rsidRDefault="008F1AF9" w:rsidP="000608D5">
      <w:pPr>
        <w:pStyle w:val="berschrift2"/>
      </w:pPr>
      <w:bookmarkStart w:id="78" w:name="_Toc151475953"/>
      <w:r>
        <w:t>Maximaler jährlicher Kantonsbeitrag</w:t>
      </w:r>
      <w:bookmarkEnd w:id="78"/>
    </w:p>
    <w:p w14:paraId="2384C6DC" w14:textId="635AAE9C" w:rsidR="00253672" w:rsidRDefault="00253672" w:rsidP="009E1F2F">
      <w:pPr>
        <w:pStyle w:val="berschrift3"/>
      </w:pPr>
      <w:bookmarkStart w:id="79" w:name="_Toc151475954"/>
      <w:r>
        <w:t>Höhe des maximalen jährlichen Kantonsbeitrags</w:t>
      </w:r>
      <w:bookmarkEnd w:id="79"/>
    </w:p>
    <w:p w14:paraId="1857FD03" w14:textId="31C6902E" w:rsidR="008F1AF9" w:rsidRDefault="008F1AF9" w:rsidP="008F1AF9">
      <w:pPr>
        <w:pStyle w:val="TextCDB"/>
        <w:spacing w:after="220" w:line="240" w:lineRule="auto"/>
        <w:rPr>
          <w:lang w:val="de-CH"/>
        </w:rPr>
      </w:pPr>
      <w:r w:rsidRPr="00A44090">
        <w:rPr>
          <w:lang w:val="de-CH"/>
        </w:rPr>
        <w:t xml:space="preserve">Der Regierungsrat legt den </w:t>
      </w:r>
      <w:r w:rsidR="006637E8">
        <w:rPr>
          <w:lang w:val="de-CH"/>
        </w:rPr>
        <w:t xml:space="preserve">maximalen jährlichen </w:t>
      </w:r>
      <w:r w:rsidRPr="00A44090">
        <w:rPr>
          <w:lang w:val="de-CH"/>
        </w:rPr>
        <w:t xml:space="preserve">Kantonsbeitrag fest. </w:t>
      </w:r>
      <w:r w:rsidR="006B7CB4">
        <w:rPr>
          <w:lang w:val="de-CH"/>
        </w:rPr>
        <w:t>Dabei</w:t>
      </w:r>
      <w:r w:rsidRPr="00A44090">
        <w:rPr>
          <w:lang w:val="de-CH"/>
        </w:rPr>
        <w:t xml:space="preserve"> orientiert er sich an der Kostenschätzung zum totalrevidierten Gesetz unter den in</w:t>
      </w:r>
      <w:r>
        <w:rPr>
          <w:lang w:val="de-CH"/>
        </w:rPr>
        <w:t xml:space="preserve"> </w:t>
      </w:r>
      <w:r w:rsidRPr="00135F2C">
        <w:rPr>
          <w:lang w:val="de-CH"/>
        </w:rPr>
        <w:t xml:space="preserve">der </w:t>
      </w:r>
      <w:hyperlink r:id="rId22" w:history="1">
        <w:r w:rsidR="0082719D" w:rsidRPr="0082719D">
          <w:rPr>
            <w:rStyle w:val="Hyperlink"/>
            <w:lang w:val="de-CH"/>
          </w:rPr>
          <w:t>Landratsvorlage</w:t>
        </w:r>
      </w:hyperlink>
      <w:r w:rsidR="0082719D">
        <w:rPr>
          <w:lang w:val="de-CH"/>
        </w:rPr>
        <w:t xml:space="preserve"> </w:t>
      </w:r>
      <w:r>
        <w:rPr>
          <w:lang w:val="de-CH"/>
        </w:rPr>
        <w:t>vom 21. Juni 2022 (Abschnitt</w:t>
      </w:r>
      <w:r w:rsidRPr="00A44090">
        <w:rPr>
          <w:lang w:val="de-CH"/>
        </w:rPr>
        <w:t xml:space="preserve"> </w:t>
      </w:r>
      <w:r w:rsidRPr="00A44090">
        <w:rPr>
          <w:i/>
          <w:lang w:val="de-CH"/>
        </w:rPr>
        <w:t>2.11.3</w:t>
      </w:r>
      <w:r>
        <w:rPr>
          <w:i/>
          <w:lang w:val="de-CH"/>
        </w:rPr>
        <w:t>, S. 26ff.</w:t>
      </w:r>
      <w:r>
        <w:rPr>
          <w:lang w:val="de-CH"/>
        </w:rPr>
        <w:t xml:space="preserve">) </w:t>
      </w:r>
      <w:r w:rsidRPr="00A44090">
        <w:rPr>
          <w:lang w:val="de-CH"/>
        </w:rPr>
        <w:t xml:space="preserve">vorgenommenen Annahmen. Der </w:t>
      </w:r>
      <w:r>
        <w:rPr>
          <w:lang w:val="de-CH"/>
        </w:rPr>
        <w:t xml:space="preserve">jährliche </w:t>
      </w:r>
      <w:r w:rsidRPr="00A44090">
        <w:rPr>
          <w:lang w:val="de-CH"/>
        </w:rPr>
        <w:t>Kantonsbeitrag beträgt aufgrund dieser Schätzungen zum Zeitpunkt des Inkrafttretens des totalrevidierten Mietzinsbeitragsgesetzes</w:t>
      </w:r>
      <w:r w:rsidR="006637E8">
        <w:rPr>
          <w:lang w:val="de-CH"/>
        </w:rPr>
        <w:t xml:space="preserve"> maximal 3,5 Millionen Franken.</w:t>
      </w:r>
    </w:p>
    <w:p w14:paraId="4779903B" w14:textId="77E595DB" w:rsidR="006637E8" w:rsidRDefault="006637E8" w:rsidP="006B7CB4">
      <w:pPr>
        <w:pStyle w:val="berschrift3"/>
      </w:pPr>
      <w:bookmarkStart w:id="80" w:name="_Toc151475955"/>
      <w:r>
        <w:t xml:space="preserve">Revision des maximalen </w:t>
      </w:r>
      <w:r w:rsidR="006B7CB4">
        <w:t>jährlichen Kantonsbeitrags</w:t>
      </w:r>
      <w:bookmarkEnd w:id="80"/>
    </w:p>
    <w:p w14:paraId="789631EA" w14:textId="4F788F6B" w:rsidR="008F1AF9" w:rsidRDefault="008F1AF9" w:rsidP="008F1AF9">
      <w:pPr>
        <w:pStyle w:val="TextCDB"/>
        <w:spacing w:after="220" w:line="240" w:lineRule="auto"/>
        <w:rPr>
          <w:lang w:val="de-CH"/>
        </w:rPr>
      </w:pPr>
      <w:r w:rsidRPr="00A44090">
        <w:rPr>
          <w:lang w:val="de-CH"/>
        </w:rPr>
        <w:t>Der Regierungsrat überprüft in regelmässigen Abständen, mindes</w:t>
      </w:r>
      <w:r w:rsidR="006B7CB4">
        <w:rPr>
          <w:lang w:val="de-CH"/>
        </w:rPr>
        <w:t xml:space="preserve">tens aber alle fünf Jahre oder </w:t>
      </w:r>
      <w:r w:rsidRPr="00A44090">
        <w:rPr>
          <w:lang w:val="de-CH"/>
        </w:rPr>
        <w:t>wenn der Kantonsbeitrag 40 % der ausgerichteten Mietzinsbeiträge unterschreitet, ob der Kantonsbeitrag noch den ausgerichteten Mietzinsbeiträgen entspricht. Er überprüft den Kantonsbeitrag zum ersten Mal spätestens fünf Jahre nach Inkrafttreten des totalrevidi</w:t>
      </w:r>
      <w:r>
        <w:rPr>
          <w:lang w:val="de-CH"/>
        </w:rPr>
        <w:t>erten Mietzinsbeitragsgesetzes.</w:t>
      </w:r>
    </w:p>
    <w:p w14:paraId="53A0A493" w14:textId="4D77220D" w:rsidR="008F1AF9" w:rsidRDefault="008F1AF9" w:rsidP="000608D5">
      <w:pPr>
        <w:pStyle w:val="berschrift2"/>
      </w:pPr>
      <w:bookmarkStart w:id="81" w:name="_Toc151475956"/>
      <w:r>
        <w:t xml:space="preserve">Verteilung </w:t>
      </w:r>
      <w:r w:rsidR="00A12361">
        <w:t xml:space="preserve">des Kantonsbeitrags </w:t>
      </w:r>
      <w:r>
        <w:t>unter den Gemeinden</w:t>
      </w:r>
      <w:bookmarkEnd w:id="81"/>
    </w:p>
    <w:p w14:paraId="2381AE57" w14:textId="36823AF2" w:rsidR="00137FA8" w:rsidRDefault="008F1AF9" w:rsidP="008F1AF9">
      <w:pPr>
        <w:pStyle w:val="Default"/>
        <w:rPr>
          <w:sz w:val="22"/>
          <w:szCs w:val="22"/>
        </w:rPr>
      </w:pPr>
      <w:r>
        <w:rPr>
          <w:sz w:val="22"/>
          <w:szCs w:val="22"/>
        </w:rPr>
        <w:t xml:space="preserve">Der Kantonsbeitrag wird prozentual an die Gemeinden ausgerichtet gemäss dem Umfang der jeweils ausgerichteten Mietzinsbeiträge. Der Beitrag, den eine Gemeinde erhält, kann dadurch jährlich variieren. </w:t>
      </w:r>
      <w:r w:rsidRPr="008F1AF9">
        <w:rPr>
          <w:sz w:val="22"/>
          <w:szCs w:val="22"/>
        </w:rPr>
        <w:t xml:space="preserve">Die Kantonsbeteiligung beträgt maximal 50 % der Kosten, die durch die Ausrichtung von Mietzinsbeiträgen anfallen. </w:t>
      </w:r>
      <w:r w:rsidR="00E13097">
        <w:rPr>
          <w:sz w:val="22"/>
          <w:szCs w:val="22"/>
        </w:rPr>
        <w:t>Beläuft sich</w:t>
      </w:r>
      <w:r w:rsidR="00E13097" w:rsidRPr="008F1AF9">
        <w:rPr>
          <w:sz w:val="22"/>
          <w:szCs w:val="22"/>
        </w:rPr>
        <w:t xml:space="preserve"> </w:t>
      </w:r>
      <w:r w:rsidRPr="008F1AF9">
        <w:rPr>
          <w:sz w:val="22"/>
          <w:szCs w:val="22"/>
        </w:rPr>
        <w:t xml:space="preserve">die </w:t>
      </w:r>
      <w:r w:rsidR="00E13097">
        <w:rPr>
          <w:sz w:val="22"/>
          <w:szCs w:val="22"/>
        </w:rPr>
        <w:t xml:space="preserve">Hälfte der </w:t>
      </w:r>
      <w:r w:rsidRPr="008F1AF9">
        <w:rPr>
          <w:sz w:val="22"/>
          <w:szCs w:val="22"/>
        </w:rPr>
        <w:t xml:space="preserve">Kosten für die ausgerichteten Mietzinsbeiträge </w:t>
      </w:r>
      <w:r w:rsidR="00E13097">
        <w:rPr>
          <w:sz w:val="22"/>
          <w:szCs w:val="22"/>
        </w:rPr>
        <w:t>über alle Gemeinden auf weniger als 3,5 Millionen Franken</w:t>
      </w:r>
      <w:r w:rsidRPr="008F1AF9">
        <w:rPr>
          <w:sz w:val="22"/>
          <w:szCs w:val="22"/>
        </w:rPr>
        <w:t>, beträgt der Kantonsbeitrag</w:t>
      </w:r>
      <w:r w:rsidR="007D3211">
        <w:rPr>
          <w:sz w:val="22"/>
          <w:szCs w:val="22"/>
        </w:rPr>
        <w:t xml:space="preserve"> pro Gemeinde</w:t>
      </w:r>
      <w:r w:rsidRPr="008F1AF9">
        <w:rPr>
          <w:sz w:val="22"/>
          <w:szCs w:val="22"/>
        </w:rPr>
        <w:t xml:space="preserve"> 50 % der Kosten. </w:t>
      </w:r>
      <w:r w:rsidR="007D3211">
        <w:rPr>
          <w:sz w:val="22"/>
          <w:szCs w:val="22"/>
        </w:rPr>
        <w:t>Übersteigt die Hälfte</w:t>
      </w:r>
      <w:r w:rsidR="00E13097" w:rsidRPr="008F1AF9">
        <w:rPr>
          <w:sz w:val="22"/>
          <w:szCs w:val="22"/>
        </w:rPr>
        <w:t xml:space="preserve"> </w:t>
      </w:r>
      <w:r w:rsidR="00582E70">
        <w:rPr>
          <w:sz w:val="22"/>
          <w:szCs w:val="22"/>
        </w:rPr>
        <w:t>der</w:t>
      </w:r>
      <w:r w:rsidR="00582E70" w:rsidRPr="008F1AF9">
        <w:rPr>
          <w:sz w:val="22"/>
          <w:szCs w:val="22"/>
        </w:rPr>
        <w:t xml:space="preserve"> </w:t>
      </w:r>
      <w:r w:rsidRPr="008F1AF9">
        <w:rPr>
          <w:sz w:val="22"/>
          <w:szCs w:val="22"/>
        </w:rPr>
        <w:t xml:space="preserve">Kosten für die ausgerichteten Mietzinsbeiträge </w:t>
      </w:r>
      <w:r w:rsidR="007D3211">
        <w:rPr>
          <w:sz w:val="22"/>
          <w:szCs w:val="22"/>
        </w:rPr>
        <w:t>über alle Gemeinden 3,5 Millionen Franken</w:t>
      </w:r>
      <w:r w:rsidRPr="008F1AF9">
        <w:rPr>
          <w:sz w:val="22"/>
          <w:szCs w:val="22"/>
        </w:rPr>
        <w:t xml:space="preserve">, beträgt der Kantonsanteil </w:t>
      </w:r>
      <w:r w:rsidR="007D3211">
        <w:rPr>
          <w:sz w:val="22"/>
          <w:szCs w:val="22"/>
        </w:rPr>
        <w:t xml:space="preserve">pro Gemeinde </w:t>
      </w:r>
      <w:r w:rsidRPr="008F1AF9">
        <w:rPr>
          <w:sz w:val="22"/>
          <w:szCs w:val="22"/>
        </w:rPr>
        <w:t>wen</w:t>
      </w:r>
      <w:r>
        <w:rPr>
          <w:sz w:val="22"/>
          <w:szCs w:val="22"/>
        </w:rPr>
        <w:t>iger als 50 % der Gesamtkosten.</w:t>
      </w:r>
      <w:r w:rsidR="00582E70">
        <w:rPr>
          <w:sz w:val="22"/>
          <w:szCs w:val="22"/>
        </w:rPr>
        <w:t xml:space="preserve"> Die Verteilung unter den Gemeinden erfolgt in diesem Fall prozentual gemessen an der Höhe der ausgerichteten Mietzinsbeiträge.</w:t>
      </w:r>
    </w:p>
    <w:p w14:paraId="335DA810" w14:textId="74BB246E" w:rsidR="00137FA8" w:rsidRDefault="00137FA8" w:rsidP="00F159C1">
      <w:pPr>
        <w:pStyle w:val="berschrift2"/>
      </w:pPr>
      <w:bookmarkStart w:id="82" w:name="_Ref135042338"/>
      <w:bookmarkStart w:id="83" w:name="_Toc151475957"/>
      <w:r>
        <w:t>Anspruchsvoraussetzungen für den Kantonsbeitrag</w:t>
      </w:r>
      <w:bookmarkEnd w:id="82"/>
      <w:bookmarkEnd w:id="83"/>
    </w:p>
    <w:p w14:paraId="4660A519" w14:textId="7DE70BF2" w:rsidR="003B255B" w:rsidRPr="00137FA8" w:rsidRDefault="00137FA8" w:rsidP="003A769C">
      <w:pPr>
        <w:pStyle w:val="Traktandum"/>
        <w:ind w:left="0"/>
      </w:pPr>
      <w:r>
        <w:t>Nur Gemeinden mit einem genehmigten Reglement erhalten Kantonsbeiträge.</w:t>
      </w:r>
      <w:r w:rsidR="002835BF" w:rsidRPr="002835BF">
        <w:t xml:space="preserve"> </w:t>
      </w:r>
      <w:r w:rsidR="002835BF">
        <w:t xml:space="preserve">Bereits bestehende Reglemente verlieren mit der Totalrevision des MBG per 1. Januar 2024 ihre Gültigkeit. Entsprechend sind die Gemeinden angehalten, möglichst zeitnah ein aktuelles Reglement zu erlassen und in Kraft zu setzen. </w:t>
      </w:r>
      <w:r w:rsidR="003B255B" w:rsidRPr="003B255B">
        <w:t>Ist den Gemeinden ein Erlass bis Ende 2023 nicht möglich, kann sie ein Reglement während einer Übergangszeit rückwirkend per 1. Januar 2024 in Kraft setzen (siehe Übergangsbestimmung § 8 der Verordnung zum MBG). Bedingung dafür ist, dass der Reglementsbeschluss durch das zuständige Gemeindeorgan per 30. Juni 2024 erfolgt ist.</w:t>
      </w:r>
    </w:p>
    <w:p w14:paraId="18F7DB42" w14:textId="49C13C66" w:rsidR="008F1AF9" w:rsidRDefault="00887AA2" w:rsidP="000608D5">
      <w:pPr>
        <w:pStyle w:val="berschrift2"/>
        <w:rPr>
          <w:u w:val="single"/>
        </w:rPr>
      </w:pPr>
      <w:bookmarkStart w:id="84" w:name="_Toc151475958"/>
      <w:r>
        <w:t xml:space="preserve">Prozess zur </w:t>
      </w:r>
      <w:r w:rsidR="000608D5">
        <w:t>Verteilung</w:t>
      </w:r>
      <w:r>
        <w:t xml:space="preserve"> und Auszahlung</w:t>
      </w:r>
      <w:r w:rsidR="008F1AF9">
        <w:t xml:space="preserve"> des Kantonsbeitrags</w:t>
      </w:r>
      <w:bookmarkEnd w:id="84"/>
    </w:p>
    <w:p w14:paraId="2AE5F7B5" w14:textId="430F64A1" w:rsidR="00253672" w:rsidRDefault="0008406C" w:rsidP="00137FA8">
      <w:pPr>
        <w:pStyle w:val="berschrift3"/>
      </w:pPr>
      <w:bookmarkStart w:id="85" w:name="_Toc151475959"/>
      <w:r>
        <w:t>Vorgehen</w:t>
      </w:r>
      <w:bookmarkEnd w:id="85"/>
    </w:p>
    <w:p w14:paraId="1CAF5376" w14:textId="0A8EFF54" w:rsidR="008F1AF9" w:rsidRDefault="008F1AF9" w:rsidP="008F1AF9">
      <w:pPr>
        <w:pStyle w:val="TextCDB"/>
        <w:spacing w:after="220" w:line="240" w:lineRule="auto"/>
        <w:rPr>
          <w:lang w:val="de-CH"/>
        </w:rPr>
      </w:pPr>
      <w:r>
        <w:rPr>
          <w:lang w:val="de-CH"/>
        </w:rPr>
        <w:t>D</w:t>
      </w:r>
      <w:r w:rsidR="001A2228">
        <w:rPr>
          <w:lang w:val="de-CH"/>
        </w:rPr>
        <w:t>as KSA</w:t>
      </w:r>
      <w:r>
        <w:rPr>
          <w:lang w:val="de-CH"/>
        </w:rPr>
        <w:t xml:space="preserve"> nimmt die Auszahlung des Kantonsbeitrags an den ausgerichteten Mietzinsbeiträgen an die Gemeinden im jeweiligen Folgejahr vor. </w:t>
      </w:r>
    </w:p>
    <w:p w14:paraId="0DEFEF14" w14:textId="12600176" w:rsidR="00A12361" w:rsidRDefault="001A2228" w:rsidP="00A12361">
      <w:pPr>
        <w:pStyle w:val="TextCDB"/>
        <w:rPr>
          <w:lang w:val="de-CH"/>
        </w:rPr>
      </w:pPr>
      <w:r>
        <w:rPr>
          <w:lang w:val="de-CH"/>
        </w:rPr>
        <w:t>Auf Basis der gelieferten Kennzahlen und n</w:t>
      </w:r>
      <w:r w:rsidR="00A12361">
        <w:rPr>
          <w:lang w:val="de-CH"/>
        </w:rPr>
        <w:t xml:space="preserve">ach </w:t>
      </w:r>
      <w:r w:rsidR="00137FA8">
        <w:rPr>
          <w:lang w:val="de-CH"/>
        </w:rPr>
        <w:t xml:space="preserve">deren Überprüfung </w:t>
      </w:r>
      <w:r w:rsidR="00D31B47">
        <w:rPr>
          <w:lang w:val="de-CH"/>
        </w:rPr>
        <w:t>(siehe nachfolgender</w:t>
      </w:r>
      <w:r w:rsidR="00AF66B2">
        <w:rPr>
          <w:lang w:val="de-CH"/>
        </w:rPr>
        <w:t xml:space="preserve"> Abschnitt </w:t>
      </w:r>
      <w:r w:rsidR="00AF66B2">
        <w:rPr>
          <w:lang w:val="de-CH"/>
        </w:rPr>
        <w:fldChar w:fldCharType="begin"/>
      </w:r>
      <w:r w:rsidR="00AF66B2">
        <w:rPr>
          <w:lang w:val="de-CH"/>
        </w:rPr>
        <w:instrText xml:space="preserve"> REF _Ref131674034 \r \h </w:instrText>
      </w:r>
      <w:r w:rsidR="00AF66B2">
        <w:rPr>
          <w:lang w:val="de-CH"/>
        </w:rPr>
      </w:r>
      <w:r w:rsidR="00AF66B2">
        <w:rPr>
          <w:lang w:val="de-CH"/>
        </w:rPr>
        <w:fldChar w:fldCharType="separate"/>
      </w:r>
      <w:r w:rsidR="0077739D">
        <w:rPr>
          <w:lang w:val="de-CH"/>
        </w:rPr>
        <w:t>8.6</w:t>
      </w:r>
      <w:r w:rsidR="00AF66B2">
        <w:rPr>
          <w:lang w:val="de-CH"/>
        </w:rPr>
        <w:fldChar w:fldCharType="end"/>
      </w:r>
      <w:r w:rsidR="00AF66B2">
        <w:rPr>
          <w:lang w:val="de-CH"/>
        </w:rPr>
        <w:t>)</w:t>
      </w:r>
      <w:r>
        <w:rPr>
          <w:lang w:val="de-CH"/>
        </w:rPr>
        <w:t xml:space="preserve"> nimmt das KSA </w:t>
      </w:r>
      <w:r w:rsidR="00A12361" w:rsidRPr="000F56F0">
        <w:rPr>
          <w:lang w:val="de-CH"/>
        </w:rPr>
        <w:t xml:space="preserve">die </w:t>
      </w:r>
      <w:r w:rsidR="00020E7A">
        <w:rPr>
          <w:lang w:val="de-CH"/>
        </w:rPr>
        <w:t xml:space="preserve">provisorische </w:t>
      </w:r>
      <w:r w:rsidR="00A12361" w:rsidRPr="000F56F0">
        <w:rPr>
          <w:lang w:val="de-CH"/>
        </w:rPr>
        <w:t>Verteilung des Kantonsbeitrags unter den Gemeinden vor</w:t>
      </w:r>
      <w:r w:rsidR="00A12361">
        <w:rPr>
          <w:lang w:val="de-CH"/>
        </w:rPr>
        <w:t xml:space="preserve"> und informiert die Gemeinden über den vorgesehenen Beitrag je Gemeinde. Die Gemeinden melden dem Kanton innert einer def</w:t>
      </w:r>
      <w:r>
        <w:rPr>
          <w:lang w:val="de-CH"/>
        </w:rPr>
        <w:t xml:space="preserve">inierten Frist </w:t>
      </w:r>
      <w:r w:rsidR="00020E7A">
        <w:rPr>
          <w:lang w:val="de-CH"/>
        </w:rPr>
        <w:t xml:space="preserve">allfällige </w:t>
      </w:r>
      <w:r>
        <w:rPr>
          <w:lang w:val="de-CH"/>
        </w:rPr>
        <w:t xml:space="preserve">Korrekturen. Das KSA </w:t>
      </w:r>
      <w:r w:rsidR="00A12361">
        <w:rPr>
          <w:lang w:val="de-CH"/>
        </w:rPr>
        <w:t>legt infolgedessen die</w:t>
      </w:r>
      <w:r w:rsidR="00A12361" w:rsidRPr="000F56F0">
        <w:rPr>
          <w:lang w:val="de-CH"/>
        </w:rPr>
        <w:t xml:space="preserve"> definitive Verteilung des Kantonsbeitrags </w:t>
      </w:r>
      <w:r w:rsidR="00A12361">
        <w:rPr>
          <w:lang w:val="de-CH"/>
        </w:rPr>
        <w:t xml:space="preserve">fest. </w:t>
      </w:r>
      <w:r w:rsidR="00D31B47">
        <w:rPr>
          <w:lang w:val="de-CH"/>
        </w:rPr>
        <w:t xml:space="preserve">Mit der Information über die definitive Verteilung des Kantonsbeitrags durch das KSA an die Gemeinden </w:t>
      </w:r>
      <w:r w:rsidR="00D31B47" w:rsidRPr="000F56F0">
        <w:rPr>
          <w:lang w:val="de-CH"/>
        </w:rPr>
        <w:t>verwirkt der Anspruch auf die Kantonsbeteiligung an nicht geltend gemachten Mietzinsbeiträgen.</w:t>
      </w:r>
    </w:p>
    <w:p w14:paraId="1FF94BEF" w14:textId="78A59698" w:rsidR="00AF66B2" w:rsidRPr="000F56F0" w:rsidRDefault="001A2228" w:rsidP="00137FA8">
      <w:pPr>
        <w:pStyle w:val="berschrift3"/>
      </w:pPr>
      <w:bookmarkStart w:id="86" w:name="_Toc151475960"/>
      <w:r>
        <w:t>Nachträgliche</w:t>
      </w:r>
      <w:r w:rsidR="00AF66B2">
        <w:t xml:space="preserve"> Korrekturen im Folgejahr</w:t>
      </w:r>
      <w:bookmarkEnd w:id="86"/>
    </w:p>
    <w:p w14:paraId="3771CD36" w14:textId="3E066265" w:rsidR="00887AA2" w:rsidRDefault="001A2228" w:rsidP="008F1AF9">
      <w:pPr>
        <w:pStyle w:val="TextCDB"/>
        <w:spacing w:after="220" w:line="240" w:lineRule="auto"/>
        <w:rPr>
          <w:lang w:val="de-CH"/>
        </w:rPr>
      </w:pPr>
      <w:r>
        <w:rPr>
          <w:lang w:val="de-CH"/>
        </w:rPr>
        <w:t xml:space="preserve">Muss das KSA </w:t>
      </w:r>
      <w:r w:rsidR="007A4521">
        <w:rPr>
          <w:lang w:val="de-CH"/>
        </w:rPr>
        <w:t xml:space="preserve">bspw. </w:t>
      </w:r>
      <w:r w:rsidR="00A12361">
        <w:rPr>
          <w:lang w:val="de-CH"/>
        </w:rPr>
        <w:t>in Folge eines Rechtsstreits nachträglich Korrekturen an ausbezahlten Kantonsbeiträgen oder der Gesamtverteilung vornehmen, passt er</w:t>
      </w:r>
      <w:r w:rsidR="00A12361" w:rsidRPr="000F56F0">
        <w:rPr>
          <w:lang w:val="de-CH"/>
        </w:rPr>
        <w:t xml:space="preserve"> im darauffolgenden Auszahlungsjahr </w:t>
      </w:r>
      <w:r w:rsidR="00A12361">
        <w:rPr>
          <w:lang w:val="de-CH"/>
        </w:rPr>
        <w:t>die auszuzahlenden Beiträge entsprechend an.</w:t>
      </w:r>
    </w:p>
    <w:p w14:paraId="46D4583C" w14:textId="76C1E35C" w:rsidR="00A12361" w:rsidRPr="000C74E2" w:rsidRDefault="00B16FB9" w:rsidP="000608D5">
      <w:pPr>
        <w:pStyle w:val="berschrift2"/>
      </w:pPr>
      <w:bookmarkStart w:id="87" w:name="_Ref131674034"/>
      <w:bookmarkStart w:id="88" w:name="_Toc151475961"/>
      <w:r>
        <w:t xml:space="preserve">Überprüfung der </w:t>
      </w:r>
      <w:r w:rsidR="00137FA8">
        <w:t xml:space="preserve">ausgerichteten </w:t>
      </w:r>
      <w:r>
        <w:t>Mietzinsbeiträge</w:t>
      </w:r>
      <w:r w:rsidRPr="000C74E2">
        <w:t xml:space="preserve"> </w:t>
      </w:r>
      <w:r w:rsidR="000C74E2" w:rsidRPr="000C74E2">
        <w:t xml:space="preserve">(Vo MBG § 6 Abs. </w:t>
      </w:r>
      <w:r w:rsidR="000C74E2">
        <w:t>3 bis 6</w:t>
      </w:r>
      <w:r w:rsidR="000C74E2" w:rsidRPr="000C74E2">
        <w:t>)</w:t>
      </w:r>
      <w:bookmarkEnd w:id="87"/>
      <w:bookmarkEnd w:id="88"/>
    </w:p>
    <w:p w14:paraId="79EB0BF0" w14:textId="11370EF3" w:rsidR="00B16FB9" w:rsidRPr="00137FA8" w:rsidRDefault="00291D1A" w:rsidP="003A769C">
      <w:pPr>
        <w:pStyle w:val="berschrift3"/>
      </w:pPr>
      <w:bookmarkStart w:id="89" w:name="_Toc151475962"/>
      <w:r>
        <w:t>Indikatoren («</w:t>
      </w:r>
      <w:r w:rsidR="00B16FB9">
        <w:t>Kennzahlen</w:t>
      </w:r>
      <w:r>
        <w:t>»)</w:t>
      </w:r>
      <w:bookmarkEnd w:id="89"/>
    </w:p>
    <w:p w14:paraId="3584AACB" w14:textId="512026FE" w:rsidR="001A2228" w:rsidRDefault="000608D5" w:rsidP="000608D5">
      <w:pPr>
        <w:pStyle w:val="TextCDB"/>
        <w:spacing w:after="220" w:line="240" w:lineRule="auto"/>
        <w:rPr>
          <w:lang w:val="de-CH"/>
        </w:rPr>
      </w:pPr>
      <w:r>
        <w:rPr>
          <w:lang w:val="de-CH"/>
        </w:rPr>
        <w:t xml:space="preserve">Vor der Auszahlung der Kantonsbeteiligung kontrolliert der Kanton die abgerechneten Mietzinsbeiträge. </w:t>
      </w:r>
      <w:r w:rsidR="008F1AF9">
        <w:rPr>
          <w:lang w:val="de-CH"/>
        </w:rPr>
        <w:t xml:space="preserve">Für </w:t>
      </w:r>
      <w:r w:rsidR="009B319B">
        <w:rPr>
          <w:lang w:val="de-CH"/>
        </w:rPr>
        <w:t>die Überprüfung</w:t>
      </w:r>
      <w:r w:rsidR="008F1AF9">
        <w:rPr>
          <w:lang w:val="de-CH"/>
        </w:rPr>
        <w:t xml:space="preserve"> der ausgerichteten Mietzinsbeiträge dienen dem Kanton </w:t>
      </w:r>
      <w:r w:rsidR="006770D0">
        <w:rPr>
          <w:lang w:val="de-CH"/>
        </w:rPr>
        <w:t>Indikatoren mit Angaben zu den Unterstützungseinheiten (gemäss Vo MBG §6 «</w:t>
      </w:r>
      <w:r w:rsidR="008F1AF9">
        <w:rPr>
          <w:lang w:val="de-CH"/>
        </w:rPr>
        <w:t>Kennzahlen</w:t>
      </w:r>
      <w:r w:rsidR="006770D0">
        <w:rPr>
          <w:lang w:val="de-CH"/>
        </w:rPr>
        <w:t>»)</w:t>
      </w:r>
      <w:r w:rsidR="008F1AF9">
        <w:rPr>
          <w:lang w:val="de-CH"/>
        </w:rPr>
        <w:t xml:space="preserve">, die Aufschluss geben über </w:t>
      </w:r>
      <w:r w:rsidR="00B16FB9">
        <w:rPr>
          <w:lang w:val="de-CH"/>
        </w:rPr>
        <w:t xml:space="preserve">den </w:t>
      </w:r>
      <w:r w:rsidR="008F1AF9">
        <w:rPr>
          <w:lang w:val="de-CH"/>
        </w:rPr>
        <w:t xml:space="preserve">Umfang sowie </w:t>
      </w:r>
      <w:r w:rsidR="00020E7A">
        <w:rPr>
          <w:lang w:val="de-CH"/>
        </w:rPr>
        <w:t xml:space="preserve">die </w:t>
      </w:r>
      <w:r w:rsidR="008F1AF9">
        <w:rPr>
          <w:lang w:val="de-CH"/>
        </w:rPr>
        <w:t xml:space="preserve">korrekte </w:t>
      </w:r>
      <w:r w:rsidR="00020E7A">
        <w:rPr>
          <w:lang w:val="de-CH"/>
        </w:rPr>
        <w:t xml:space="preserve">Ausrichtung </w:t>
      </w:r>
      <w:r w:rsidR="001A2228">
        <w:rPr>
          <w:lang w:val="de-CH"/>
        </w:rPr>
        <w:t>der</w:t>
      </w:r>
      <w:r w:rsidR="008F1AF9">
        <w:rPr>
          <w:lang w:val="de-CH"/>
        </w:rPr>
        <w:t xml:space="preserve"> </w:t>
      </w:r>
      <w:r w:rsidR="001A2228">
        <w:rPr>
          <w:lang w:val="de-CH"/>
        </w:rPr>
        <w:t>Mietzinsb</w:t>
      </w:r>
      <w:r w:rsidR="00A12361">
        <w:rPr>
          <w:lang w:val="de-CH"/>
        </w:rPr>
        <w:t>e</w:t>
      </w:r>
      <w:r w:rsidR="001A2228">
        <w:rPr>
          <w:lang w:val="de-CH"/>
        </w:rPr>
        <w:t>i</w:t>
      </w:r>
      <w:r w:rsidR="00A12361">
        <w:rPr>
          <w:lang w:val="de-CH"/>
        </w:rPr>
        <w:t>träge</w:t>
      </w:r>
      <w:r w:rsidR="00020E7A" w:rsidRPr="00020E7A">
        <w:rPr>
          <w:lang w:val="de-CH"/>
        </w:rPr>
        <w:t xml:space="preserve"> </w:t>
      </w:r>
      <w:r w:rsidR="00020E7A">
        <w:rPr>
          <w:lang w:val="de-CH"/>
        </w:rPr>
        <w:t>im Abrechnungsjahr</w:t>
      </w:r>
      <w:r w:rsidR="001A2228">
        <w:rPr>
          <w:lang w:val="de-CH"/>
        </w:rPr>
        <w:t>.</w:t>
      </w:r>
    </w:p>
    <w:p w14:paraId="651E9EC2" w14:textId="25A89D9B" w:rsidR="003D0C39" w:rsidRDefault="003D0C39" w:rsidP="003D0C39">
      <w:pPr>
        <w:pStyle w:val="berschrift3"/>
        <w:tabs>
          <w:tab w:val="clear" w:pos="4973"/>
          <w:tab w:val="num" w:pos="720"/>
        </w:tabs>
      </w:pPr>
      <w:bookmarkStart w:id="90" w:name="_Ref149055602"/>
      <w:bookmarkStart w:id="91" w:name="_Toc151475963"/>
      <w:r>
        <w:t xml:space="preserve">Inhalt </w:t>
      </w:r>
      <w:r w:rsidR="006770D0">
        <w:t xml:space="preserve">und Struktur </w:t>
      </w:r>
      <w:r w:rsidR="001410F0">
        <w:t>der Datenl</w:t>
      </w:r>
      <w:r>
        <w:t>ieferung durch die Gemeinden an den Kanton</w:t>
      </w:r>
      <w:bookmarkEnd w:id="90"/>
      <w:bookmarkEnd w:id="91"/>
    </w:p>
    <w:p w14:paraId="13D918E5" w14:textId="3522BD7E" w:rsidR="000608D5" w:rsidRDefault="000608D5" w:rsidP="000608D5">
      <w:pPr>
        <w:pStyle w:val="Traktandum"/>
        <w:ind w:left="0"/>
      </w:pPr>
      <w:r>
        <w:t xml:space="preserve">Folgende </w:t>
      </w:r>
      <w:r w:rsidR="006770D0">
        <w:t xml:space="preserve">Indikatoren </w:t>
      </w:r>
      <w:r>
        <w:t xml:space="preserve">pro </w:t>
      </w:r>
      <w:r w:rsidR="00F84AC9">
        <w:t xml:space="preserve">antragstellende Person bzw. </w:t>
      </w:r>
      <w:r w:rsidR="006770D0">
        <w:t>Unterstützungseinheit</w:t>
      </w:r>
      <w:r>
        <w:t xml:space="preserve"> </w:t>
      </w:r>
      <w:r w:rsidR="003D0C39">
        <w:t xml:space="preserve">und Jahr </w:t>
      </w:r>
      <w:r w:rsidR="006770D0">
        <w:t xml:space="preserve">muss die </w:t>
      </w:r>
      <w:r w:rsidR="006770D0" w:rsidRPr="00291D1A">
        <w:t xml:space="preserve">Gemeinde </w:t>
      </w:r>
      <w:r w:rsidR="00291D1A">
        <w:t xml:space="preserve">analog der vorgegebenen Struktur </w:t>
      </w:r>
      <w:r w:rsidR="006770D0" w:rsidRPr="00291D1A">
        <w:t xml:space="preserve">erfassen und dem KSA </w:t>
      </w:r>
      <w:r w:rsidR="00291D1A">
        <w:t xml:space="preserve">jährlich </w:t>
      </w:r>
      <w:r w:rsidR="006770D0" w:rsidRPr="00291D1A">
        <w:t>liefern können</w:t>
      </w:r>
      <w:r w:rsidRPr="00291D1A">
        <w:t>:</w:t>
      </w:r>
    </w:p>
    <w:p w14:paraId="05199DC5" w14:textId="77777777" w:rsidR="003C522D" w:rsidRDefault="003C522D" w:rsidP="003C522D">
      <w:pPr>
        <w:numPr>
          <w:ilvl w:val="0"/>
          <w:numId w:val="38"/>
        </w:numPr>
        <w:tabs>
          <w:tab w:val="clear" w:pos="5103"/>
        </w:tabs>
        <w:spacing w:after="0"/>
        <w:textAlignment w:val="center"/>
        <w:rPr>
          <w:rFonts w:eastAsia="Times New Roman" w:cs="Arial"/>
          <w:color w:val="000000"/>
          <w:szCs w:val="22"/>
          <w:lang w:eastAsia="de-CH"/>
        </w:rPr>
      </w:pPr>
      <w:r>
        <w:rPr>
          <w:rFonts w:eastAsia="Times New Roman" w:cs="Arial"/>
          <w:color w:val="000000"/>
          <w:szCs w:val="22"/>
          <w:lang w:eastAsia="de-CH"/>
        </w:rPr>
        <w:t>Niederlassungsgemeinde</w:t>
      </w:r>
    </w:p>
    <w:p w14:paraId="409A6928" w14:textId="47C56E9A" w:rsidR="00F84AC9" w:rsidRPr="003D1E4B" w:rsidRDefault="00F84AC9" w:rsidP="000C4C7E">
      <w:pPr>
        <w:numPr>
          <w:ilvl w:val="0"/>
          <w:numId w:val="38"/>
        </w:numPr>
        <w:tabs>
          <w:tab w:val="clear" w:pos="5103"/>
        </w:tabs>
        <w:spacing w:after="0"/>
        <w:textAlignment w:val="center"/>
      </w:pPr>
      <w:r>
        <w:rPr>
          <w:rFonts w:eastAsia="Times New Roman" w:cs="Arial"/>
          <w:color w:val="000000"/>
          <w:szCs w:val="22"/>
          <w:lang w:eastAsia="de-CH"/>
        </w:rPr>
        <w:t>BFS-Code der Niederlassungsgemeinde</w:t>
      </w:r>
    </w:p>
    <w:p w14:paraId="02974446" w14:textId="6D2E7688" w:rsidR="00B03C85" w:rsidRPr="00461F3D" w:rsidRDefault="000C4C7E" w:rsidP="000C4C7E">
      <w:pPr>
        <w:numPr>
          <w:ilvl w:val="0"/>
          <w:numId w:val="38"/>
        </w:numPr>
        <w:tabs>
          <w:tab w:val="clear" w:pos="5103"/>
        </w:tabs>
        <w:spacing w:after="0"/>
        <w:textAlignment w:val="center"/>
      </w:pPr>
      <w:r w:rsidRPr="000C4C7E">
        <w:rPr>
          <w:rFonts w:eastAsia="Times New Roman" w:cs="Arial"/>
          <w:color w:val="000000"/>
          <w:szCs w:val="22"/>
          <w:lang w:eastAsia="de-CH"/>
        </w:rPr>
        <w:t>AHV-Versichertennummer (AHVN13)</w:t>
      </w:r>
      <w:r w:rsidR="00F84AC9">
        <w:rPr>
          <w:rFonts w:eastAsia="Times New Roman" w:cs="Arial"/>
          <w:color w:val="000000"/>
          <w:szCs w:val="22"/>
          <w:lang w:eastAsia="de-CH"/>
        </w:rPr>
        <w:t xml:space="preserve"> </w:t>
      </w:r>
      <w:r w:rsidR="00F84AC9">
        <w:t>der antragstellenden Person</w:t>
      </w:r>
    </w:p>
    <w:p w14:paraId="3A3286F8" w14:textId="627879D0" w:rsidR="000608D5" w:rsidRDefault="00E648C8" w:rsidP="000608D5">
      <w:pPr>
        <w:numPr>
          <w:ilvl w:val="0"/>
          <w:numId w:val="38"/>
        </w:numPr>
        <w:tabs>
          <w:tab w:val="clear" w:pos="5103"/>
        </w:tabs>
        <w:spacing w:after="0"/>
        <w:textAlignment w:val="center"/>
      </w:pPr>
      <w:r>
        <w:t xml:space="preserve">Amtliche </w:t>
      </w:r>
      <w:r w:rsidR="002D006E">
        <w:t>Vor</w:t>
      </w:r>
      <w:r w:rsidR="007F310F">
        <w:t>namen</w:t>
      </w:r>
      <w:r w:rsidR="002D006E">
        <w:t xml:space="preserve"> und </w:t>
      </w:r>
      <w:r w:rsidR="00F84AC9">
        <w:t>amtlicher Name (</w:t>
      </w:r>
      <w:r w:rsidR="002D006E">
        <w:t>Nachn</w:t>
      </w:r>
      <w:r w:rsidR="000608D5">
        <w:t>ame</w:t>
      </w:r>
      <w:r w:rsidR="00F84AC9">
        <w:t>)</w:t>
      </w:r>
      <w:r w:rsidR="00F159C1">
        <w:t xml:space="preserve"> </w:t>
      </w:r>
      <w:r w:rsidR="003C522D">
        <w:t xml:space="preserve">der </w:t>
      </w:r>
      <w:r w:rsidR="00F159C1">
        <w:t>antragstellenden Person</w:t>
      </w:r>
    </w:p>
    <w:p w14:paraId="133A9AFA" w14:textId="1C30E1D8" w:rsidR="00F84AC9" w:rsidRDefault="00F84AC9" w:rsidP="000608D5">
      <w:pPr>
        <w:numPr>
          <w:ilvl w:val="0"/>
          <w:numId w:val="38"/>
        </w:numPr>
        <w:tabs>
          <w:tab w:val="clear" w:pos="5103"/>
        </w:tabs>
        <w:spacing w:after="0"/>
        <w:textAlignment w:val="center"/>
      </w:pPr>
      <w:r>
        <w:t>Nationalität der antragstellenden Person (Schweiz, Ausland)</w:t>
      </w:r>
    </w:p>
    <w:p w14:paraId="3F709C51" w14:textId="1E8A9938" w:rsidR="000608D5" w:rsidRDefault="00F84AC9" w:rsidP="000608D5">
      <w:pPr>
        <w:numPr>
          <w:ilvl w:val="0"/>
          <w:numId w:val="38"/>
        </w:numPr>
        <w:tabs>
          <w:tab w:val="clear" w:pos="5103"/>
        </w:tabs>
        <w:spacing w:after="0"/>
        <w:textAlignment w:val="center"/>
      </w:pPr>
      <w:r>
        <w:t>Au</w:t>
      </w:r>
      <w:r w:rsidR="00E648C8">
        <w:t xml:space="preserve">sländerkategorie </w:t>
      </w:r>
      <w:r>
        <w:t xml:space="preserve">der antragstellenden Person </w:t>
      </w:r>
      <w:r w:rsidR="00E648C8">
        <w:t>(bei AusländerInnen)</w:t>
      </w:r>
      <w:r>
        <w:t xml:space="preserve"> </w:t>
      </w:r>
    </w:p>
    <w:p w14:paraId="5E29A4D8" w14:textId="732A23D3" w:rsidR="000608D5" w:rsidRDefault="000608D5" w:rsidP="000608D5">
      <w:pPr>
        <w:numPr>
          <w:ilvl w:val="0"/>
          <w:numId w:val="38"/>
        </w:numPr>
        <w:tabs>
          <w:tab w:val="clear" w:pos="5103"/>
        </w:tabs>
        <w:spacing w:after="0"/>
        <w:textAlignment w:val="center"/>
        <w:rPr>
          <w:rFonts w:eastAsia="Times New Roman" w:cs="Arial"/>
          <w:color w:val="000000"/>
          <w:szCs w:val="22"/>
          <w:lang w:eastAsia="de-CH"/>
        </w:rPr>
      </w:pPr>
      <w:r w:rsidRPr="004C3C09">
        <w:rPr>
          <w:rFonts w:eastAsia="Times New Roman" w:cs="Arial"/>
          <w:color w:val="000000"/>
          <w:szCs w:val="22"/>
          <w:lang w:eastAsia="de-CH"/>
        </w:rPr>
        <w:t xml:space="preserve">Anzahl Personen </w:t>
      </w:r>
      <w:r>
        <w:rPr>
          <w:rFonts w:eastAsia="Times New Roman" w:cs="Arial"/>
          <w:color w:val="000000"/>
          <w:szCs w:val="22"/>
          <w:lang w:eastAsia="de-CH"/>
        </w:rPr>
        <w:t>i</w:t>
      </w:r>
      <w:r w:rsidR="00B16FB9">
        <w:rPr>
          <w:rFonts w:eastAsia="Times New Roman" w:cs="Arial"/>
          <w:color w:val="000000"/>
          <w:szCs w:val="22"/>
          <w:lang w:eastAsia="de-CH"/>
        </w:rPr>
        <w:t>m</w:t>
      </w:r>
      <w:r>
        <w:rPr>
          <w:rFonts w:eastAsia="Times New Roman" w:cs="Arial"/>
          <w:color w:val="000000"/>
          <w:szCs w:val="22"/>
          <w:lang w:eastAsia="de-CH"/>
        </w:rPr>
        <w:t xml:space="preserve"> Haushalt</w:t>
      </w:r>
    </w:p>
    <w:p w14:paraId="12740835" w14:textId="77777777" w:rsidR="006770D0" w:rsidRDefault="00137FA8" w:rsidP="00F159C1">
      <w:pPr>
        <w:numPr>
          <w:ilvl w:val="0"/>
          <w:numId w:val="38"/>
        </w:numPr>
        <w:tabs>
          <w:tab w:val="clear" w:pos="5103"/>
        </w:tabs>
        <w:spacing w:after="0"/>
        <w:textAlignment w:val="center"/>
        <w:rPr>
          <w:rFonts w:eastAsia="Times New Roman" w:cs="Arial"/>
          <w:color w:val="000000"/>
          <w:szCs w:val="22"/>
          <w:lang w:eastAsia="de-CH"/>
        </w:rPr>
      </w:pPr>
      <w:r>
        <w:rPr>
          <w:rFonts w:eastAsia="Times New Roman" w:cs="Arial"/>
          <w:color w:val="000000"/>
          <w:szCs w:val="22"/>
          <w:lang w:eastAsia="de-CH"/>
        </w:rPr>
        <w:t>Geburtsdatum der Kinder im Haushal</w:t>
      </w:r>
      <w:r w:rsidR="00F159C1">
        <w:rPr>
          <w:rFonts w:eastAsia="Times New Roman" w:cs="Arial"/>
          <w:color w:val="000000"/>
          <w:szCs w:val="22"/>
          <w:lang w:eastAsia="de-CH"/>
        </w:rPr>
        <w:t>t</w:t>
      </w:r>
    </w:p>
    <w:p w14:paraId="7EA5CF00" w14:textId="4D2C14F3" w:rsidR="000608D5" w:rsidRPr="00F159C1" w:rsidRDefault="00137FA8" w:rsidP="00F159C1">
      <w:pPr>
        <w:numPr>
          <w:ilvl w:val="0"/>
          <w:numId w:val="38"/>
        </w:numPr>
        <w:tabs>
          <w:tab w:val="clear" w:pos="5103"/>
        </w:tabs>
        <w:spacing w:after="0"/>
        <w:textAlignment w:val="center"/>
        <w:rPr>
          <w:rFonts w:eastAsia="Times New Roman" w:cs="Arial"/>
          <w:color w:val="000000"/>
          <w:szCs w:val="22"/>
          <w:lang w:eastAsia="de-CH"/>
        </w:rPr>
      </w:pPr>
      <w:r w:rsidRPr="00F159C1">
        <w:rPr>
          <w:rFonts w:eastAsia="Times New Roman" w:cs="Arial"/>
          <w:color w:val="000000"/>
          <w:szCs w:val="22"/>
          <w:lang w:eastAsia="de-CH"/>
        </w:rPr>
        <w:t>Anzahl Kinder in Erstausbildung</w:t>
      </w:r>
      <w:r w:rsidR="005F3257" w:rsidRPr="00F159C1">
        <w:rPr>
          <w:rFonts w:eastAsia="Times New Roman" w:cs="Arial"/>
          <w:color w:val="000000"/>
          <w:szCs w:val="22"/>
          <w:lang w:eastAsia="de-CH"/>
        </w:rPr>
        <w:t xml:space="preserve"> </w:t>
      </w:r>
      <w:r w:rsidR="00B16FB9" w:rsidRPr="00F159C1">
        <w:rPr>
          <w:rFonts w:eastAsia="Times New Roman" w:cs="Arial"/>
          <w:color w:val="000000"/>
          <w:szCs w:val="22"/>
          <w:lang w:eastAsia="de-CH"/>
        </w:rPr>
        <w:t>im Haushalt</w:t>
      </w:r>
    </w:p>
    <w:p w14:paraId="106E329F" w14:textId="235BCB15" w:rsidR="003D0C39" w:rsidRPr="003D0C39" w:rsidRDefault="003D0C39" w:rsidP="003D0C39">
      <w:pPr>
        <w:numPr>
          <w:ilvl w:val="0"/>
          <w:numId w:val="38"/>
        </w:numPr>
        <w:tabs>
          <w:tab w:val="clear" w:pos="5103"/>
        </w:tabs>
        <w:spacing w:after="0"/>
        <w:textAlignment w:val="center"/>
        <w:rPr>
          <w:rFonts w:eastAsia="Times New Roman" w:cs="Arial"/>
          <w:color w:val="000000"/>
          <w:szCs w:val="22"/>
          <w:lang w:eastAsia="de-CH"/>
        </w:rPr>
      </w:pPr>
      <w:r>
        <w:rPr>
          <w:rFonts w:eastAsia="Times New Roman" w:cs="Arial"/>
          <w:color w:val="000000"/>
          <w:szCs w:val="22"/>
          <w:lang w:eastAsia="de-CH"/>
        </w:rPr>
        <w:t>Datum des Zuzugs in</w:t>
      </w:r>
      <w:r w:rsidRPr="004C3C09">
        <w:rPr>
          <w:rFonts w:eastAsia="Times New Roman" w:cs="Arial"/>
          <w:color w:val="000000"/>
          <w:szCs w:val="22"/>
          <w:lang w:eastAsia="de-CH"/>
        </w:rPr>
        <w:t xml:space="preserve"> </w:t>
      </w:r>
      <w:r>
        <w:rPr>
          <w:rFonts w:eastAsia="Times New Roman" w:cs="Arial"/>
          <w:color w:val="000000"/>
          <w:szCs w:val="22"/>
          <w:lang w:eastAsia="de-CH"/>
        </w:rPr>
        <w:t xml:space="preserve">den </w:t>
      </w:r>
      <w:r w:rsidRPr="004C3C09">
        <w:rPr>
          <w:rFonts w:eastAsia="Times New Roman" w:cs="Arial"/>
          <w:color w:val="000000"/>
          <w:szCs w:val="22"/>
          <w:lang w:eastAsia="de-CH"/>
        </w:rPr>
        <w:t>Kanton</w:t>
      </w:r>
    </w:p>
    <w:p w14:paraId="29B02E1E" w14:textId="77777777" w:rsidR="000608D5" w:rsidRDefault="000608D5" w:rsidP="000608D5">
      <w:pPr>
        <w:numPr>
          <w:ilvl w:val="0"/>
          <w:numId w:val="38"/>
        </w:numPr>
        <w:tabs>
          <w:tab w:val="clear" w:pos="5103"/>
        </w:tabs>
        <w:spacing w:after="0"/>
        <w:textAlignment w:val="center"/>
        <w:rPr>
          <w:rFonts w:eastAsia="Times New Roman" w:cs="Arial"/>
          <w:color w:val="000000"/>
          <w:szCs w:val="22"/>
          <w:lang w:eastAsia="de-CH"/>
        </w:rPr>
      </w:pPr>
      <w:r>
        <w:rPr>
          <w:rFonts w:eastAsia="Times New Roman" w:cs="Arial"/>
          <w:color w:val="000000"/>
          <w:szCs w:val="22"/>
          <w:lang w:eastAsia="de-CH"/>
        </w:rPr>
        <w:t>Anzahl Bezugsmonate</w:t>
      </w:r>
    </w:p>
    <w:p w14:paraId="66E5F82F" w14:textId="230FAA91" w:rsidR="000608D5" w:rsidRDefault="000608D5" w:rsidP="000608D5">
      <w:pPr>
        <w:numPr>
          <w:ilvl w:val="0"/>
          <w:numId w:val="38"/>
        </w:numPr>
        <w:tabs>
          <w:tab w:val="clear" w:pos="5103"/>
        </w:tabs>
        <w:spacing w:after="0"/>
        <w:textAlignment w:val="center"/>
        <w:rPr>
          <w:rFonts w:eastAsia="Times New Roman" w:cs="Arial"/>
          <w:color w:val="000000"/>
          <w:szCs w:val="22"/>
          <w:lang w:eastAsia="de-CH"/>
        </w:rPr>
      </w:pPr>
      <w:r>
        <w:rPr>
          <w:rFonts w:eastAsia="Times New Roman" w:cs="Arial"/>
          <w:color w:val="000000"/>
          <w:szCs w:val="22"/>
          <w:lang w:eastAsia="de-CH"/>
        </w:rPr>
        <w:t>Totalbetrag</w:t>
      </w:r>
      <w:r w:rsidR="00B16FB9">
        <w:rPr>
          <w:rFonts w:eastAsia="Times New Roman" w:cs="Arial"/>
          <w:color w:val="000000"/>
          <w:szCs w:val="22"/>
          <w:lang w:eastAsia="de-CH"/>
        </w:rPr>
        <w:t xml:space="preserve"> der ausgerichteten Mietzinsbeiträge</w:t>
      </w:r>
    </w:p>
    <w:p w14:paraId="7A5B1366" w14:textId="10ADDB9A" w:rsidR="00122E08" w:rsidRPr="007F310F" w:rsidRDefault="00F604F0" w:rsidP="00461F3D">
      <w:pPr>
        <w:numPr>
          <w:ilvl w:val="0"/>
          <w:numId w:val="38"/>
        </w:numPr>
        <w:tabs>
          <w:tab w:val="clear" w:pos="5103"/>
        </w:tabs>
        <w:spacing w:after="0"/>
        <w:textAlignment w:val="center"/>
        <w:rPr>
          <w:rFonts w:eastAsia="Times New Roman" w:cs="Arial"/>
          <w:color w:val="000000"/>
          <w:szCs w:val="22"/>
          <w:lang w:eastAsia="de-CH"/>
        </w:rPr>
      </w:pPr>
      <w:r>
        <w:rPr>
          <w:rFonts w:eastAsia="Times New Roman" w:cs="Arial"/>
          <w:color w:val="000000"/>
          <w:szCs w:val="22"/>
          <w:lang w:eastAsia="de-CH"/>
        </w:rPr>
        <w:t xml:space="preserve">ggf. </w:t>
      </w:r>
      <w:r w:rsidR="00741093">
        <w:rPr>
          <w:rFonts w:eastAsia="Times New Roman" w:cs="Arial"/>
          <w:color w:val="000000"/>
          <w:szCs w:val="22"/>
          <w:lang w:eastAsia="de-CH"/>
        </w:rPr>
        <w:t>Härtefälle: Totalbetrag der ausgerichteten Mietzinsbeiträge</w:t>
      </w:r>
    </w:p>
    <w:p w14:paraId="307181E0" w14:textId="77777777" w:rsidR="00863F2A" w:rsidRDefault="00863F2A" w:rsidP="0041353E">
      <w:pPr>
        <w:tabs>
          <w:tab w:val="clear" w:pos="5103"/>
        </w:tabs>
        <w:spacing w:after="0"/>
        <w:textAlignment w:val="center"/>
        <w:rPr>
          <w:rFonts w:eastAsia="Times New Roman" w:cs="Arial"/>
          <w:color w:val="000000"/>
          <w:szCs w:val="22"/>
          <w:lang w:eastAsia="de-CH"/>
        </w:rPr>
      </w:pPr>
    </w:p>
    <w:p w14:paraId="380C83E6" w14:textId="0F717C0E" w:rsidR="0034426F" w:rsidRDefault="00122E08" w:rsidP="0041353E">
      <w:pPr>
        <w:tabs>
          <w:tab w:val="clear" w:pos="5103"/>
        </w:tabs>
        <w:spacing w:after="0"/>
        <w:textAlignment w:val="center"/>
        <w:rPr>
          <w:rFonts w:eastAsia="Times New Roman" w:cs="Arial"/>
          <w:color w:val="000000"/>
          <w:szCs w:val="22"/>
          <w:lang w:eastAsia="de-CH"/>
        </w:rPr>
      </w:pPr>
      <w:r>
        <w:rPr>
          <w:rFonts w:eastAsia="Times New Roman" w:cs="Arial"/>
          <w:color w:val="000000"/>
          <w:szCs w:val="22"/>
          <w:lang w:eastAsia="de-CH"/>
        </w:rPr>
        <w:t>Das KSA kann von der Gemeinde im Rahmen von Stichproben verlangen, dass sie dem KSA zusätzlich zu den au</w:t>
      </w:r>
      <w:r w:rsidR="0063572F">
        <w:rPr>
          <w:rFonts w:eastAsia="Times New Roman" w:cs="Arial"/>
          <w:color w:val="000000"/>
          <w:szCs w:val="22"/>
          <w:lang w:eastAsia="de-CH"/>
        </w:rPr>
        <w:t xml:space="preserve">fgeführten </w:t>
      </w:r>
      <w:r w:rsidR="00F84AC9">
        <w:rPr>
          <w:rFonts w:eastAsia="Times New Roman" w:cs="Arial"/>
          <w:color w:val="000000"/>
          <w:szCs w:val="22"/>
          <w:lang w:eastAsia="de-CH"/>
        </w:rPr>
        <w:t xml:space="preserve">Indikatoren </w:t>
      </w:r>
      <w:r>
        <w:rPr>
          <w:rFonts w:eastAsia="Times New Roman" w:cs="Arial"/>
          <w:color w:val="000000"/>
          <w:szCs w:val="22"/>
          <w:lang w:eastAsia="de-CH"/>
        </w:rPr>
        <w:t>die vollständigen Angaben zur Beitragsberechnung zur Überprüfung liefert.</w:t>
      </w:r>
    </w:p>
    <w:p w14:paraId="2FDF58F6" w14:textId="41C4B829" w:rsidR="006770D0" w:rsidRDefault="0034426F" w:rsidP="0041353E">
      <w:pPr>
        <w:tabs>
          <w:tab w:val="clear" w:pos="5103"/>
        </w:tabs>
        <w:spacing w:after="0"/>
        <w:textAlignment w:val="center"/>
        <w:rPr>
          <w:rFonts w:eastAsia="Times New Roman" w:cs="Arial"/>
          <w:color w:val="000000"/>
          <w:szCs w:val="22"/>
          <w:lang w:eastAsia="de-CH"/>
        </w:rPr>
      </w:pPr>
      <w:r>
        <w:rPr>
          <w:rFonts w:eastAsia="Times New Roman" w:cs="Arial"/>
          <w:color w:val="000000"/>
          <w:szCs w:val="22"/>
          <w:lang w:eastAsia="de-CH"/>
        </w:rPr>
        <w:t xml:space="preserve">Die Liste der verlangten </w:t>
      </w:r>
      <w:r w:rsidR="00F84AC9">
        <w:rPr>
          <w:rFonts w:eastAsia="Times New Roman" w:cs="Arial"/>
          <w:color w:val="000000"/>
          <w:szCs w:val="22"/>
          <w:lang w:eastAsia="de-CH"/>
        </w:rPr>
        <w:t xml:space="preserve">Indikatoren </w:t>
      </w:r>
      <w:r>
        <w:rPr>
          <w:rFonts w:eastAsia="Times New Roman" w:cs="Arial"/>
          <w:color w:val="000000"/>
          <w:szCs w:val="22"/>
          <w:lang w:eastAsia="de-CH"/>
        </w:rPr>
        <w:t xml:space="preserve">kann, wenn für den Controllingprozess nötig, angepasst werden. </w:t>
      </w:r>
      <w:r w:rsidR="001552CB">
        <w:rPr>
          <w:rFonts w:eastAsia="Times New Roman" w:cs="Arial"/>
          <w:color w:val="000000"/>
          <w:szCs w:val="22"/>
          <w:lang w:eastAsia="de-CH"/>
        </w:rPr>
        <w:t xml:space="preserve">Das KSA informiert die </w:t>
      </w:r>
      <w:r>
        <w:rPr>
          <w:rFonts w:eastAsia="Times New Roman" w:cs="Arial"/>
          <w:color w:val="000000"/>
          <w:szCs w:val="22"/>
          <w:lang w:eastAsia="de-CH"/>
        </w:rPr>
        <w:t xml:space="preserve">Gemeinden frühzeitig </w:t>
      </w:r>
      <w:r w:rsidR="001552CB">
        <w:rPr>
          <w:rFonts w:eastAsia="Times New Roman" w:cs="Arial"/>
          <w:color w:val="000000"/>
          <w:szCs w:val="22"/>
          <w:lang w:eastAsia="de-CH"/>
        </w:rPr>
        <w:t>darüber</w:t>
      </w:r>
      <w:r>
        <w:rPr>
          <w:rFonts w:eastAsia="Times New Roman" w:cs="Arial"/>
          <w:color w:val="000000"/>
          <w:szCs w:val="22"/>
          <w:lang w:eastAsia="de-CH"/>
        </w:rPr>
        <w:t>.</w:t>
      </w:r>
    </w:p>
    <w:p w14:paraId="7DEB4BF2" w14:textId="77777777" w:rsidR="006770D0" w:rsidRDefault="006770D0" w:rsidP="00461F3D">
      <w:pPr>
        <w:pStyle w:val="berschrift3"/>
        <w:rPr>
          <w:lang w:eastAsia="de-CH"/>
        </w:rPr>
      </w:pPr>
      <w:bookmarkStart w:id="92" w:name="_Toc151475964"/>
      <w:r>
        <w:rPr>
          <w:lang w:eastAsia="de-CH"/>
        </w:rPr>
        <w:t>Art der Datenerfassung</w:t>
      </w:r>
      <w:bookmarkEnd w:id="92"/>
    </w:p>
    <w:p w14:paraId="762FBFE2" w14:textId="4FB40A55" w:rsidR="0034426F" w:rsidRDefault="006770D0" w:rsidP="00461F3D">
      <w:pPr>
        <w:pStyle w:val="Traktandum"/>
        <w:ind w:left="0"/>
        <w:rPr>
          <w:lang w:eastAsia="de-CH"/>
        </w:rPr>
      </w:pPr>
      <w:r>
        <w:rPr>
          <w:lang w:eastAsia="de-CH"/>
        </w:rPr>
        <w:t xml:space="preserve">Die zu übermittelnden </w:t>
      </w:r>
      <w:r w:rsidR="00F84AC9">
        <w:rPr>
          <w:lang w:eastAsia="de-CH"/>
        </w:rPr>
        <w:t xml:space="preserve">Indikatoren </w:t>
      </w:r>
      <w:r>
        <w:rPr>
          <w:lang w:eastAsia="de-CH"/>
        </w:rPr>
        <w:t xml:space="preserve">müssen zwingend </w:t>
      </w:r>
      <w:r w:rsidR="00291D1A">
        <w:rPr>
          <w:lang w:eastAsia="de-CH"/>
        </w:rPr>
        <w:t>der</w:t>
      </w:r>
      <w:r>
        <w:rPr>
          <w:lang w:eastAsia="de-CH"/>
        </w:rPr>
        <w:t xml:space="preserve"> </w:t>
      </w:r>
      <w:r w:rsidR="00F84AC9">
        <w:rPr>
          <w:lang w:eastAsia="de-CH"/>
        </w:rPr>
        <w:t xml:space="preserve">unter Punkt </w:t>
      </w:r>
      <w:r w:rsidR="00F84AC9">
        <w:rPr>
          <w:lang w:eastAsia="de-CH"/>
        </w:rPr>
        <w:fldChar w:fldCharType="begin"/>
      </w:r>
      <w:r w:rsidR="00F84AC9">
        <w:rPr>
          <w:lang w:eastAsia="de-CH"/>
        </w:rPr>
        <w:instrText xml:space="preserve"> REF _Ref149055602 \r \h </w:instrText>
      </w:r>
      <w:r w:rsidR="00F84AC9">
        <w:rPr>
          <w:lang w:eastAsia="de-CH"/>
        </w:rPr>
      </w:r>
      <w:r w:rsidR="00F84AC9">
        <w:rPr>
          <w:lang w:eastAsia="de-CH"/>
        </w:rPr>
        <w:fldChar w:fldCharType="separate"/>
      </w:r>
      <w:r w:rsidR="00F84AC9">
        <w:rPr>
          <w:lang w:eastAsia="de-CH"/>
        </w:rPr>
        <w:t>8.6.2</w:t>
      </w:r>
      <w:r w:rsidR="00F84AC9">
        <w:rPr>
          <w:lang w:eastAsia="de-CH"/>
        </w:rPr>
        <w:fldChar w:fldCharType="end"/>
      </w:r>
      <w:r w:rsidR="00F84AC9">
        <w:rPr>
          <w:lang w:eastAsia="de-CH"/>
        </w:rPr>
        <w:t xml:space="preserve"> </w:t>
      </w:r>
      <w:r>
        <w:rPr>
          <w:lang w:eastAsia="de-CH"/>
        </w:rPr>
        <w:t>vorgegebene</w:t>
      </w:r>
      <w:r w:rsidR="00291D1A">
        <w:rPr>
          <w:lang w:eastAsia="de-CH"/>
        </w:rPr>
        <w:t>n</w:t>
      </w:r>
      <w:r>
        <w:rPr>
          <w:lang w:eastAsia="de-CH"/>
        </w:rPr>
        <w:t xml:space="preserve"> Struktur entsprechen. Die Daten müssen in einem </w:t>
      </w:r>
      <w:hyperlink r:id="rId23" w:history="1">
        <w:r w:rsidRPr="00291D1A">
          <w:rPr>
            <w:rStyle w:val="Hyperlink"/>
            <w:lang w:eastAsia="de-CH"/>
          </w:rPr>
          <w:t>von Excel unterstützten Dateiformat</w:t>
        </w:r>
      </w:hyperlink>
      <w:r>
        <w:rPr>
          <w:lang w:eastAsia="de-CH"/>
        </w:rPr>
        <w:t xml:space="preserve"> geliefert werden (bspw. XLSX, CSV). </w:t>
      </w:r>
      <w:r w:rsidR="00C67A0C">
        <w:rPr>
          <w:lang w:eastAsia="de-CH"/>
        </w:rPr>
        <w:t>Das</w:t>
      </w:r>
      <w:r>
        <w:rPr>
          <w:lang w:eastAsia="de-CH"/>
        </w:rPr>
        <w:t xml:space="preserve"> durch das </w:t>
      </w:r>
      <w:r w:rsidR="00F84AC9">
        <w:rPr>
          <w:lang w:eastAsia="de-CH"/>
        </w:rPr>
        <w:t xml:space="preserve">KSA </w:t>
      </w:r>
      <w:r w:rsidR="00461F3D">
        <w:rPr>
          <w:lang w:eastAsia="de-CH"/>
        </w:rPr>
        <w:t>zur Verfügung gestellte</w:t>
      </w:r>
      <w:r>
        <w:rPr>
          <w:lang w:eastAsia="de-CH"/>
        </w:rPr>
        <w:t xml:space="preserve"> Berechnungstool</w:t>
      </w:r>
      <w:r w:rsidR="00C67A0C">
        <w:rPr>
          <w:lang w:eastAsia="de-CH"/>
        </w:rPr>
        <w:t xml:space="preserve"> enthält eine Arbeitsmappe, der die relevanten Kennzahlen pro Fall zu entnehmen sind (Mappe «Kennzahlen»)</w:t>
      </w:r>
      <w:r>
        <w:rPr>
          <w:lang w:eastAsia="de-CH"/>
        </w:rPr>
        <w:t>.</w:t>
      </w:r>
    </w:p>
    <w:p w14:paraId="47654456" w14:textId="77777777" w:rsidR="000608D5" w:rsidRDefault="000608D5" w:rsidP="000608D5">
      <w:pPr>
        <w:pStyle w:val="berschrift3"/>
        <w:tabs>
          <w:tab w:val="clear" w:pos="4973"/>
          <w:tab w:val="num" w:pos="720"/>
        </w:tabs>
        <w:rPr>
          <w:lang w:eastAsia="de-CH"/>
        </w:rPr>
      </w:pPr>
      <w:bookmarkStart w:id="93" w:name="_Toc151475965"/>
      <w:r>
        <w:rPr>
          <w:lang w:eastAsia="de-CH"/>
        </w:rPr>
        <w:t>Art der Datenlieferung</w:t>
      </w:r>
      <w:bookmarkEnd w:id="93"/>
      <w:r>
        <w:rPr>
          <w:lang w:eastAsia="de-CH"/>
        </w:rPr>
        <w:t xml:space="preserve"> </w:t>
      </w:r>
    </w:p>
    <w:p w14:paraId="6BDDE5EA" w14:textId="212F36AA" w:rsidR="000608D5" w:rsidRDefault="000608D5" w:rsidP="000608D5">
      <w:pPr>
        <w:pStyle w:val="Traktandum"/>
        <w:ind w:left="0"/>
        <w:rPr>
          <w:lang w:eastAsia="de-CH"/>
        </w:rPr>
      </w:pPr>
      <w:r>
        <w:rPr>
          <w:lang w:eastAsia="de-CH"/>
        </w:rPr>
        <w:t>Die zu liefernden Daten sind als besonders schützenswert einzuordnen. Entsprechend müssen die Daten gesichert übertragen werden. Das KSA prüft Möglichkeiten</w:t>
      </w:r>
      <w:r w:rsidR="003378C3">
        <w:rPr>
          <w:lang w:eastAsia="de-CH"/>
        </w:rPr>
        <w:t xml:space="preserve"> zur sicheren Datenübermittlung</w:t>
      </w:r>
      <w:r>
        <w:rPr>
          <w:lang w:eastAsia="de-CH"/>
        </w:rPr>
        <w:t xml:space="preserve"> und wird die Gemeinden frühzeitig informieren.</w:t>
      </w:r>
    </w:p>
    <w:p w14:paraId="5A55095E" w14:textId="778FFCA7" w:rsidR="001A2228" w:rsidRDefault="001A2228" w:rsidP="001A2228">
      <w:pPr>
        <w:pStyle w:val="berschrift3"/>
      </w:pPr>
      <w:bookmarkStart w:id="94" w:name="_Toc151475966"/>
      <w:r>
        <w:t>Frist der Datenlieferung</w:t>
      </w:r>
      <w:bookmarkEnd w:id="94"/>
    </w:p>
    <w:p w14:paraId="79047392" w14:textId="4D3BA0D7" w:rsidR="001A2228" w:rsidRPr="001A2228" w:rsidRDefault="001A2228" w:rsidP="001A2228">
      <w:pPr>
        <w:pStyle w:val="TextCDB"/>
        <w:spacing w:after="220" w:line="240" w:lineRule="auto"/>
        <w:rPr>
          <w:lang w:val="de-CH"/>
        </w:rPr>
      </w:pPr>
      <w:r>
        <w:rPr>
          <w:lang w:val="de-CH"/>
        </w:rPr>
        <w:t>Damit das KSA den Kantonsbeitrag korrekt und zeitnah unter den Gemeinden verteilen kann, müssen d</w:t>
      </w:r>
      <w:r w:rsidRPr="000F56F0">
        <w:rPr>
          <w:lang w:val="de-CH"/>
        </w:rPr>
        <w:t xml:space="preserve">ie Gemeinden die erforderlichen Kennzahlen </w:t>
      </w:r>
      <w:r w:rsidR="00B16FB9">
        <w:rPr>
          <w:lang w:val="de-CH"/>
        </w:rPr>
        <w:t xml:space="preserve">jeweils </w:t>
      </w:r>
      <w:r w:rsidRPr="000F56F0">
        <w:rPr>
          <w:lang w:val="de-CH"/>
        </w:rPr>
        <w:t xml:space="preserve">bis am </w:t>
      </w:r>
      <w:r w:rsidRPr="001410F0">
        <w:rPr>
          <w:u w:val="single"/>
          <w:lang w:val="de-CH"/>
        </w:rPr>
        <w:t>31. März des Folgejahres</w:t>
      </w:r>
      <w:r>
        <w:rPr>
          <w:lang w:val="de-CH"/>
        </w:rPr>
        <w:t xml:space="preserve"> an den Kanton liefern.</w:t>
      </w:r>
      <w:r w:rsidR="00B16FB9">
        <w:rPr>
          <w:lang w:val="de-CH"/>
        </w:rPr>
        <w:t xml:space="preserve"> Das KSA weist die Gemeinden jeweils zu Beginn des Folgejahres auf die Frist zur Einreichung der Kennzahlen hin.</w:t>
      </w:r>
    </w:p>
    <w:p w14:paraId="427ABE6D" w14:textId="77777777" w:rsidR="000608D5" w:rsidRDefault="000608D5" w:rsidP="000608D5">
      <w:pPr>
        <w:pStyle w:val="berschrift3"/>
        <w:tabs>
          <w:tab w:val="clear" w:pos="4973"/>
          <w:tab w:val="num" w:pos="720"/>
        </w:tabs>
        <w:rPr>
          <w:lang w:eastAsia="de-CH"/>
        </w:rPr>
      </w:pPr>
      <w:bookmarkStart w:id="95" w:name="_Toc151475967"/>
      <w:r>
        <w:rPr>
          <w:lang w:eastAsia="de-CH"/>
        </w:rPr>
        <w:t>Konsequenzen</w:t>
      </w:r>
      <w:bookmarkEnd w:id="95"/>
    </w:p>
    <w:p w14:paraId="6697CFA6" w14:textId="0695B03F" w:rsidR="000608D5" w:rsidRDefault="000608D5" w:rsidP="002A053E">
      <w:pPr>
        <w:pStyle w:val="Traktandum"/>
        <w:ind w:left="0"/>
        <w:rPr>
          <w:lang w:eastAsia="de-CH"/>
        </w:rPr>
      </w:pPr>
      <w:r>
        <w:rPr>
          <w:lang w:eastAsia="de-CH"/>
        </w:rPr>
        <w:t xml:space="preserve">Stellt das KSA fehlerhafte </w:t>
      </w:r>
      <w:r w:rsidR="00AD75BA">
        <w:rPr>
          <w:lang w:eastAsia="de-CH"/>
        </w:rPr>
        <w:t xml:space="preserve">Ausrichtungen von Mietzinsbeiträgen </w:t>
      </w:r>
      <w:r>
        <w:rPr>
          <w:lang w:eastAsia="de-CH"/>
        </w:rPr>
        <w:t xml:space="preserve">fest, informiert es die </w:t>
      </w:r>
      <w:r w:rsidR="00AD75BA">
        <w:rPr>
          <w:lang w:eastAsia="de-CH"/>
        </w:rPr>
        <w:t xml:space="preserve">entsprechende </w:t>
      </w:r>
      <w:r>
        <w:rPr>
          <w:lang w:eastAsia="de-CH"/>
        </w:rPr>
        <w:t xml:space="preserve">Gemeinde und bittet um eine Revision oder Erklärung der fehlerhaften </w:t>
      </w:r>
      <w:r w:rsidR="00745B58">
        <w:rPr>
          <w:lang w:eastAsia="de-CH"/>
        </w:rPr>
        <w:t xml:space="preserve">Ausrichtung </w:t>
      </w:r>
      <w:r>
        <w:rPr>
          <w:lang w:eastAsia="de-CH"/>
        </w:rPr>
        <w:t xml:space="preserve">innerhalb einer definierten Frist. Liegt bis zur gesetzten Frist keine revidierte </w:t>
      </w:r>
      <w:r w:rsidR="007562F7">
        <w:rPr>
          <w:lang w:eastAsia="de-CH"/>
        </w:rPr>
        <w:t>Abrechnung</w:t>
      </w:r>
      <w:r>
        <w:rPr>
          <w:lang w:eastAsia="de-CH"/>
        </w:rPr>
        <w:t xml:space="preserve"> vor oder wurde eine Begründung durch das KSA nicht akzeptiert, berücksichtigt das KSA bei der Berechnung des Kantonsbeitrags die </w:t>
      </w:r>
      <w:r w:rsidR="00745B58">
        <w:rPr>
          <w:lang w:eastAsia="de-CH"/>
        </w:rPr>
        <w:t xml:space="preserve">fehlerhafte Abrechnung nicht </w:t>
      </w:r>
      <w:r>
        <w:rPr>
          <w:lang w:eastAsia="de-CH"/>
        </w:rPr>
        <w:t>und überweist einen entsprechend reduzierten Be</w:t>
      </w:r>
      <w:r w:rsidR="00745B58">
        <w:rPr>
          <w:lang w:eastAsia="de-CH"/>
        </w:rPr>
        <w:t>i</w:t>
      </w:r>
      <w:r>
        <w:rPr>
          <w:lang w:eastAsia="de-CH"/>
        </w:rPr>
        <w:t>trag.</w:t>
      </w:r>
    </w:p>
    <w:p w14:paraId="45D3B811" w14:textId="77777777" w:rsidR="00A50D40" w:rsidRDefault="00A50D40" w:rsidP="00A50D40">
      <w:pPr>
        <w:pStyle w:val="berschrift3"/>
      </w:pPr>
      <w:bookmarkStart w:id="96" w:name="_Toc151475968"/>
      <w:r>
        <w:t>Hinweise zur Dossierführung</w:t>
      </w:r>
      <w:bookmarkEnd w:id="96"/>
    </w:p>
    <w:p w14:paraId="66493FE3" w14:textId="2EFD86D1" w:rsidR="00A50D40" w:rsidRDefault="00A50D40" w:rsidP="00A50D40">
      <w:pPr>
        <w:tabs>
          <w:tab w:val="clear" w:pos="5103"/>
          <w:tab w:val="left" w:pos="142"/>
        </w:tabs>
        <w:spacing w:after="120"/>
        <w:jc w:val="both"/>
      </w:pPr>
      <w:r w:rsidRPr="0039422B">
        <w:t xml:space="preserve">Alle für die Anspruchsprüfung und Leistungsberechnung nötigen Angaben sind </w:t>
      </w:r>
      <w:r>
        <w:t>gemäss dem Gesetz über die Archivierung (</w:t>
      </w:r>
      <w:hyperlink r:id="rId24" w:history="1">
        <w:r w:rsidRPr="00622660">
          <w:rPr>
            <w:rStyle w:val="Hyperlink"/>
          </w:rPr>
          <w:t>SGS 163</w:t>
        </w:r>
      </w:hyperlink>
      <w:r>
        <w:t xml:space="preserve">) </w:t>
      </w:r>
      <w:r w:rsidRPr="0039422B">
        <w:t>mit den relevanten Nachweisen zu dokumentieren.</w:t>
      </w:r>
    </w:p>
    <w:p w14:paraId="6383E80F" w14:textId="0EC12815" w:rsidR="00A50D40" w:rsidRDefault="00A50D40" w:rsidP="00A50D40">
      <w:pPr>
        <w:tabs>
          <w:tab w:val="clear" w:pos="5103"/>
          <w:tab w:val="left" w:pos="142"/>
        </w:tabs>
        <w:spacing w:after="120"/>
        <w:jc w:val="both"/>
      </w:pPr>
      <w:r>
        <w:t xml:space="preserve">Das KSA empfiehlt eine Dossierführung mittels professioneller Fallführungssoftware. </w:t>
      </w:r>
    </w:p>
    <w:p w14:paraId="3A6E960F" w14:textId="2F5948AE" w:rsidR="00DF773E" w:rsidRDefault="00A25316" w:rsidP="00DF773E">
      <w:pPr>
        <w:pStyle w:val="berschrift1"/>
      </w:pPr>
      <w:bookmarkStart w:id="97" w:name="_Toc151475969"/>
      <w:r>
        <w:t xml:space="preserve">Aufsicht </w:t>
      </w:r>
      <w:r w:rsidR="00622660">
        <w:t>(§</w:t>
      </w:r>
      <w:r w:rsidR="002E2049">
        <w:t xml:space="preserve"> 15</w:t>
      </w:r>
      <w:r w:rsidR="003E2B6D">
        <w:t xml:space="preserve"> MBG</w:t>
      </w:r>
      <w:r w:rsidR="002E2049">
        <w:t>)</w:t>
      </w:r>
      <w:bookmarkEnd w:id="97"/>
    </w:p>
    <w:p w14:paraId="722043BA" w14:textId="78B84D3C" w:rsidR="00745B58" w:rsidRDefault="00745B58" w:rsidP="009A7F3F">
      <w:pPr>
        <w:pStyle w:val="berschrift2"/>
      </w:pPr>
      <w:bookmarkStart w:id="98" w:name="_Toc151475970"/>
      <w:r>
        <w:t>Aufsichtsfunktion</w:t>
      </w:r>
      <w:bookmarkEnd w:id="98"/>
    </w:p>
    <w:p w14:paraId="15FAEC29" w14:textId="3B70D175" w:rsidR="006556BC" w:rsidRPr="007562F7" w:rsidRDefault="007562F7" w:rsidP="007562F7">
      <w:pPr>
        <w:rPr>
          <w:szCs w:val="22"/>
        </w:rPr>
      </w:pPr>
      <w:r>
        <w:rPr>
          <w:szCs w:val="22"/>
        </w:rPr>
        <w:t>Dem KSA kommt eine Aufsichtsfunktion zu. Es kann zur Überprüfung des Vollzugs Akteneinsicht verlangen und so stichprobenartig den Vollzug überprüfen. Die Gemeinden haben dem KSA auf Anfrage Einsicht in sämtliche Akten zu gewähren.</w:t>
      </w:r>
    </w:p>
    <w:p w14:paraId="365957AF" w14:textId="18F69EDD" w:rsidR="006556BC" w:rsidRDefault="000C74E2" w:rsidP="000C74E2">
      <w:pPr>
        <w:pStyle w:val="berschrift2"/>
      </w:pPr>
      <w:bookmarkStart w:id="99" w:name="_Toc151475971"/>
      <w:r>
        <w:t xml:space="preserve">Konsequenzen bei </w:t>
      </w:r>
      <w:r w:rsidR="00745B58">
        <w:t>Verweigerung der Einsicht</w:t>
      </w:r>
      <w:bookmarkEnd w:id="99"/>
    </w:p>
    <w:p w14:paraId="680BACE2" w14:textId="555B9B15" w:rsidR="0076368D" w:rsidRPr="006556BC" w:rsidRDefault="0076368D" w:rsidP="006556BC">
      <w:pPr>
        <w:pStyle w:val="TextCDB"/>
        <w:spacing w:after="220" w:line="240" w:lineRule="auto"/>
        <w:rPr>
          <w:lang w:val="de-CH"/>
        </w:rPr>
      </w:pPr>
      <w:r>
        <w:rPr>
          <w:lang w:val="de-CH"/>
        </w:rPr>
        <w:t>Sollten die Gemeinden die Einsicht in die Akten und Unterlagen verweigern, kann der Kanton die Zahlung der Kantonsbeiträge einstellen.</w:t>
      </w:r>
    </w:p>
    <w:p w14:paraId="47C129AC" w14:textId="4A1F73B8" w:rsidR="00F74744" w:rsidRPr="008F1AF9" w:rsidRDefault="00F74744" w:rsidP="00F74744">
      <w:pPr>
        <w:pStyle w:val="berschrift1"/>
        <w:rPr>
          <w:szCs w:val="22"/>
        </w:rPr>
      </w:pPr>
      <w:bookmarkStart w:id="100" w:name="_Toc151475972"/>
      <w:r>
        <w:t xml:space="preserve">Übersicht Prozesse bzgl. Finanzierung, </w:t>
      </w:r>
      <w:r w:rsidR="00745B58">
        <w:t xml:space="preserve">Überprüfung </w:t>
      </w:r>
      <w:r>
        <w:t>und Aufsicht</w:t>
      </w:r>
      <w:bookmarkEnd w:id="100"/>
    </w:p>
    <w:tbl>
      <w:tblPr>
        <w:tblStyle w:val="Tabellenraster"/>
        <w:tblW w:w="0" w:type="auto"/>
        <w:tblLook w:val="04A0" w:firstRow="1" w:lastRow="0" w:firstColumn="1" w:lastColumn="0" w:noHBand="0" w:noVBand="1"/>
      </w:tblPr>
      <w:tblGrid>
        <w:gridCol w:w="6799"/>
        <w:gridCol w:w="1276"/>
        <w:gridCol w:w="1546"/>
      </w:tblGrid>
      <w:tr w:rsidR="00F74744" w:rsidRPr="00B82BBF" w14:paraId="58D623B2" w14:textId="77777777" w:rsidTr="006B7CB4">
        <w:tc>
          <w:tcPr>
            <w:tcW w:w="6799" w:type="dxa"/>
            <w:shd w:val="clear" w:color="auto" w:fill="D9D9D9" w:themeFill="background1" w:themeFillShade="D9"/>
          </w:tcPr>
          <w:p w14:paraId="58688758" w14:textId="77777777" w:rsidR="00F74744" w:rsidRPr="00B82BBF" w:rsidRDefault="00F74744" w:rsidP="006B7CB4">
            <w:pPr>
              <w:rPr>
                <w:b/>
              </w:rPr>
            </w:pPr>
            <w:r w:rsidRPr="00B82BBF">
              <w:rPr>
                <w:b/>
              </w:rPr>
              <w:t>Was</w:t>
            </w:r>
          </w:p>
        </w:tc>
        <w:tc>
          <w:tcPr>
            <w:tcW w:w="1276" w:type="dxa"/>
            <w:shd w:val="clear" w:color="auto" w:fill="D9D9D9" w:themeFill="background1" w:themeFillShade="D9"/>
          </w:tcPr>
          <w:p w14:paraId="3D1D2F55" w14:textId="77777777" w:rsidR="00F74744" w:rsidRPr="00B82BBF" w:rsidRDefault="00F74744" w:rsidP="006B7CB4">
            <w:pPr>
              <w:rPr>
                <w:b/>
              </w:rPr>
            </w:pPr>
            <w:r w:rsidRPr="00B82BBF">
              <w:rPr>
                <w:b/>
              </w:rPr>
              <w:t>Wer</w:t>
            </w:r>
          </w:p>
        </w:tc>
        <w:tc>
          <w:tcPr>
            <w:tcW w:w="1546" w:type="dxa"/>
            <w:shd w:val="clear" w:color="auto" w:fill="D9D9D9" w:themeFill="background1" w:themeFillShade="D9"/>
          </w:tcPr>
          <w:p w14:paraId="23ADAD17" w14:textId="77777777" w:rsidR="00F74744" w:rsidRPr="00B82BBF" w:rsidRDefault="00F74744" w:rsidP="006B7CB4">
            <w:pPr>
              <w:rPr>
                <w:b/>
              </w:rPr>
            </w:pPr>
            <w:r w:rsidRPr="00B82BBF">
              <w:rPr>
                <w:b/>
              </w:rPr>
              <w:t>Wann</w:t>
            </w:r>
          </w:p>
        </w:tc>
      </w:tr>
      <w:tr w:rsidR="00F74744" w:rsidRPr="00B82BBF" w14:paraId="4C3B6551" w14:textId="77777777" w:rsidTr="006B7CB4">
        <w:tc>
          <w:tcPr>
            <w:tcW w:w="9621" w:type="dxa"/>
            <w:gridSpan w:val="3"/>
            <w:shd w:val="clear" w:color="auto" w:fill="F2F2F2" w:themeFill="background1" w:themeFillShade="F2"/>
          </w:tcPr>
          <w:p w14:paraId="2A24436D" w14:textId="75028C4C" w:rsidR="00F74744" w:rsidRPr="00B82BBF" w:rsidRDefault="00F74744" w:rsidP="00745B58">
            <w:pPr>
              <w:rPr>
                <w:i/>
              </w:rPr>
            </w:pPr>
            <w:r w:rsidRPr="00B82BBF">
              <w:rPr>
                <w:i/>
              </w:rPr>
              <w:t xml:space="preserve">Finanzierung und </w:t>
            </w:r>
            <w:r w:rsidR="00745B58">
              <w:rPr>
                <w:i/>
              </w:rPr>
              <w:t>Überprüfung</w:t>
            </w:r>
          </w:p>
        </w:tc>
      </w:tr>
      <w:tr w:rsidR="00F74744" w14:paraId="6450470A" w14:textId="77777777" w:rsidTr="006B7CB4">
        <w:tc>
          <w:tcPr>
            <w:tcW w:w="6799" w:type="dxa"/>
          </w:tcPr>
          <w:p w14:paraId="1DAAC186" w14:textId="0FD8E7CC" w:rsidR="00F74744" w:rsidRDefault="00F74744" w:rsidP="006B7CB4">
            <w:r>
              <w:t>Auszahlung M</w:t>
            </w:r>
            <w:r w:rsidR="00745B58">
              <w:t>ietzinsbeiträge</w:t>
            </w:r>
            <w:r>
              <w:t xml:space="preserve"> an Leistungsbeziehende</w:t>
            </w:r>
          </w:p>
        </w:tc>
        <w:tc>
          <w:tcPr>
            <w:tcW w:w="1276" w:type="dxa"/>
          </w:tcPr>
          <w:p w14:paraId="3ACEF724" w14:textId="77777777" w:rsidR="00F74744" w:rsidRDefault="00F74744" w:rsidP="006B7CB4">
            <w:r>
              <w:t>Gemeinde</w:t>
            </w:r>
          </w:p>
        </w:tc>
        <w:tc>
          <w:tcPr>
            <w:tcW w:w="1546" w:type="dxa"/>
          </w:tcPr>
          <w:p w14:paraId="30EBE22B" w14:textId="77777777" w:rsidR="00F74744" w:rsidRDefault="00F74744" w:rsidP="006B7CB4">
            <w:r>
              <w:t>Monatlich, laufend</w:t>
            </w:r>
          </w:p>
        </w:tc>
      </w:tr>
      <w:tr w:rsidR="00745B58" w14:paraId="2B21055E" w14:textId="77777777" w:rsidTr="006B7CB4">
        <w:tc>
          <w:tcPr>
            <w:tcW w:w="6799" w:type="dxa"/>
          </w:tcPr>
          <w:p w14:paraId="31EA03DA" w14:textId="3364F8C3" w:rsidR="00745B58" w:rsidRDefault="00745B58" w:rsidP="006B7CB4">
            <w:r>
              <w:t>Erinnerung Lieferung Kennzahlen an KSA</w:t>
            </w:r>
          </w:p>
        </w:tc>
        <w:tc>
          <w:tcPr>
            <w:tcW w:w="1276" w:type="dxa"/>
          </w:tcPr>
          <w:p w14:paraId="79A289F9" w14:textId="01D65AA7" w:rsidR="00745B58" w:rsidRDefault="00745B58" w:rsidP="006B7CB4">
            <w:r>
              <w:t>KSA</w:t>
            </w:r>
          </w:p>
        </w:tc>
        <w:tc>
          <w:tcPr>
            <w:tcW w:w="1546" w:type="dxa"/>
          </w:tcPr>
          <w:p w14:paraId="6B94161B" w14:textId="6D284B27" w:rsidR="00745B58" w:rsidRDefault="003378C3" w:rsidP="006B7CB4">
            <w:r>
              <w:t xml:space="preserve">15. </w:t>
            </w:r>
            <w:r w:rsidR="00745B58">
              <w:t>Januar</w:t>
            </w:r>
          </w:p>
        </w:tc>
      </w:tr>
      <w:tr w:rsidR="00F74744" w14:paraId="5576EE17" w14:textId="77777777" w:rsidTr="006B7CB4">
        <w:tc>
          <w:tcPr>
            <w:tcW w:w="6799" w:type="dxa"/>
          </w:tcPr>
          <w:p w14:paraId="76C2260B" w14:textId="77777777" w:rsidR="00F74744" w:rsidRDefault="00F74744" w:rsidP="006B7CB4">
            <w:r>
              <w:t>Lieferung Kennzahlen an KSA</w:t>
            </w:r>
          </w:p>
        </w:tc>
        <w:tc>
          <w:tcPr>
            <w:tcW w:w="1276" w:type="dxa"/>
          </w:tcPr>
          <w:p w14:paraId="113A64EB" w14:textId="77777777" w:rsidR="00F74744" w:rsidRDefault="00F74744" w:rsidP="006B7CB4">
            <w:r>
              <w:t>Gemeinde</w:t>
            </w:r>
          </w:p>
        </w:tc>
        <w:tc>
          <w:tcPr>
            <w:tcW w:w="1546" w:type="dxa"/>
          </w:tcPr>
          <w:p w14:paraId="083E34A9" w14:textId="77777777" w:rsidR="00F74744" w:rsidRDefault="00F74744" w:rsidP="006B7CB4">
            <w:r>
              <w:t>31. März</w:t>
            </w:r>
          </w:p>
        </w:tc>
      </w:tr>
      <w:tr w:rsidR="00F74744" w14:paraId="0F4DF4A0" w14:textId="77777777" w:rsidTr="006B7CB4">
        <w:tc>
          <w:tcPr>
            <w:tcW w:w="6799" w:type="dxa"/>
          </w:tcPr>
          <w:p w14:paraId="4E98D91F" w14:textId="4063004A" w:rsidR="00F74744" w:rsidRDefault="00F74744" w:rsidP="006B7CB4">
            <w:r>
              <w:t>Überprüfung der Kennzahlen</w:t>
            </w:r>
            <w:r w:rsidR="003378C3">
              <w:t xml:space="preserve"> und Versand Information zur provisorischen Verteilung des Kantonsbeitrags an Gemeinden</w:t>
            </w:r>
          </w:p>
        </w:tc>
        <w:tc>
          <w:tcPr>
            <w:tcW w:w="1276" w:type="dxa"/>
          </w:tcPr>
          <w:p w14:paraId="58CE6243" w14:textId="77777777" w:rsidR="00F74744" w:rsidRDefault="00F74744" w:rsidP="006B7CB4">
            <w:r>
              <w:t>KSA</w:t>
            </w:r>
          </w:p>
        </w:tc>
        <w:tc>
          <w:tcPr>
            <w:tcW w:w="1546" w:type="dxa"/>
          </w:tcPr>
          <w:p w14:paraId="009C82AE" w14:textId="4F94A400" w:rsidR="00F74744" w:rsidRDefault="003378C3" w:rsidP="006B7CB4">
            <w:r>
              <w:t>30. Juni</w:t>
            </w:r>
          </w:p>
        </w:tc>
      </w:tr>
      <w:tr w:rsidR="00F74744" w14:paraId="423223DD" w14:textId="77777777" w:rsidTr="006B7CB4">
        <w:tc>
          <w:tcPr>
            <w:tcW w:w="6799" w:type="dxa"/>
          </w:tcPr>
          <w:p w14:paraId="7382A62F" w14:textId="77777777" w:rsidR="00F74744" w:rsidRDefault="00F74744" w:rsidP="006B7CB4">
            <w:r>
              <w:t>Ggf. Rückmeldung Gemeinden zur provisorischen Verteilung</w:t>
            </w:r>
          </w:p>
        </w:tc>
        <w:tc>
          <w:tcPr>
            <w:tcW w:w="1276" w:type="dxa"/>
          </w:tcPr>
          <w:p w14:paraId="762E3B9A" w14:textId="77777777" w:rsidR="00F74744" w:rsidRDefault="00F74744" w:rsidP="006B7CB4">
            <w:r>
              <w:t>Gemeinde</w:t>
            </w:r>
          </w:p>
        </w:tc>
        <w:tc>
          <w:tcPr>
            <w:tcW w:w="1546" w:type="dxa"/>
          </w:tcPr>
          <w:p w14:paraId="66B17DC0" w14:textId="3F8828DE" w:rsidR="00F74744" w:rsidRDefault="003378C3" w:rsidP="006B7CB4">
            <w:r>
              <w:t xml:space="preserve">31. </w:t>
            </w:r>
            <w:r w:rsidR="003A769C">
              <w:t>August</w:t>
            </w:r>
          </w:p>
        </w:tc>
      </w:tr>
      <w:tr w:rsidR="00F74744" w14:paraId="3FB44D4A" w14:textId="77777777" w:rsidTr="006B7CB4">
        <w:tc>
          <w:tcPr>
            <w:tcW w:w="6799" w:type="dxa"/>
          </w:tcPr>
          <w:p w14:paraId="1896AB75" w14:textId="77777777" w:rsidR="00F74744" w:rsidRDefault="00F74744" w:rsidP="006B7CB4">
            <w:r>
              <w:t>Definitive Verteilung des Kantonsbeitrags und Auszahlung an Gemeinden</w:t>
            </w:r>
          </w:p>
        </w:tc>
        <w:tc>
          <w:tcPr>
            <w:tcW w:w="1276" w:type="dxa"/>
          </w:tcPr>
          <w:p w14:paraId="673C56A2" w14:textId="77777777" w:rsidR="00F74744" w:rsidRDefault="00F74744" w:rsidP="006B7CB4">
            <w:r>
              <w:t>KSA</w:t>
            </w:r>
          </w:p>
        </w:tc>
        <w:tc>
          <w:tcPr>
            <w:tcW w:w="1546" w:type="dxa"/>
          </w:tcPr>
          <w:p w14:paraId="10D4685C" w14:textId="78BD7829" w:rsidR="00F74744" w:rsidRDefault="003378C3" w:rsidP="003378C3">
            <w:r>
              <w:t xml:space="preserve">31. </w:t>
            </w:r>
            <w:r w:rsidR="003A769C">
              <w:t>Oktober</w:t>
            </w:r>
          </w:p>
        </w:tc>
      </w:tr>
      <w:tr w:rsidR="00F74744" w:rsidRPr="00B82BBF" w14:paraId="15A4C738" w14:textId="77777777" w:rsidTr="006B7CB4">
        <w:tc>
          <w:tcPr>
            <w:tcW w:w="9621" w:type="dxa"/>
            <w:gridSpan w:val="3"/>
            <w:shd w:val="clear" w:color="auto" w:fill="F2F2F2" w:themeFill="background1" w:themeFillShade="F2"/>
          </w:tcPr>
          <w:p w14:paraId="0305EEBF" w14:textId="77777777" w:rsidR="00F74744" w:rsidRPr="00B82BBF" w:rsidRDefault="00F74744" w:rsidP="006B7CB4">
            <w:pPr>
              <w:rPr>
                <w:i/>
              </w:rPr>
            </w:pPr>
            <w:r w:rsidRPr="00B82BBF">
              <w:rPr>
                <w:i/>
              </w:rPr>
              <w:t>Aufsicht</w:t>
            </w:r>
          </w:p>
        </w:tc>
      </w:tr>
      <w:tr w:rsidR="00F74744" w14:paraId="0771702F" w14:textId="77777777" w:rsidTr="006B7CB4">
        <w:tc>
          <w:tcPr>
            <w:tcW w:w="6799" w:type="dxa"/>
          </w:tcPr>
          <w:p w14:paraId="6D7B5ACD" w14:textId="77777777" w:rsidR="00F74744" w:rsidRDefault="00F74744" w:rsidP="006B7CB4">
            <w:r>
              <w:t>Einzelfallprüfung</w:t>
            </w:r>
          </w:p>
        </w:tc>
        <w:tc>
          <w:tcPr>
            <w:tcW w:w="1276" w:type="dxa"/>
          </w:tcPr>
          <w:p w14:paraId="305768CE" w14:textId="77777777" w:rsidR="00F74744" w:rsidRDefault="00F74744" w:rsidP="006B7CB4">
            <w:r>
              <w:t>KSA (Gemeinden)</w:t>
            </w:r>
          </w:p>
        </w:tc>
        <w:tc>
          <w:tcPr>
            <w:tcW w:w="1546" w:type="dxa"/>
          </w:tcPr>
          <w:p w14:paraId="245C63E8" w14:textId="77777777" w:rsidR="00F74744" w:rsidRDefault="00F74744" w:rsidP="006B7CB4">
            <w:r>
              <w:t>laufend</w:t>
            </w:r>
          </w:p>
        </w:tc>
      </w:tr>
      <w:tr w:rsidR="00F74744" w14:paraId="3EAFC518" w14:textId="77777777" w:rsidTr="006B7CB4">
        <w:tc>
          <w:tcPr>
            <w:tcW w:w="6799" w:type="dxa"/>
          </w:tcPr>
          <w:p w14:paraId="25E977B1" w14:textId="77777777" w:rsidR="00F74744" w:rsidRDefault="00F74744" w:rsidP="006B7CB4">
            <w:r>
              <w:t>Erstellung von Berichtsbeiträgen und Reporting an Politik und Öffentlichkeit</w:t>
            </w:r>
          </w:p>
        </w:tc>
        <w:tc>
          <w:tcPr>
            <w:tcW w:w="1276" w:type="dxa"/>
          </w:tcPr>
          <w:p w14:paraId="08A1991F" w14:textId="77777777" w:rsidR="00F74744" w:rsidRDefault="00F74744" w:rsidP="006B7CB4">
            <w:r>
              <w:t>KSA</w:t>
            </w:r>
          </w:p>
        </w:tc>
        <w:tc>
          <w:tcPr>
            <w:tcW w:w="1546" w:type="dxa"/>
          </w:tcPr>
          <w:p w14:paraId="3A7BE93E" w14:textId="77777777" w:rsidR="00F74744" w:rsidRDefault="00F74744" w:rsidP="006B7CB4">
            <w:r>
              <w:t>laufend</w:t>
            </w:r>
          </w:p>
        </w:tc>
      </w:tr>
      <w:tr w:rsidR="00F74744" w:rsidRPr="00D408DD" w14:paraId="5538BC20" w14:textId="77777777" w:rsidTr="006B7CB4">
        <w:tc>
          <w:tcPr>
            <w:tcW w:w="9621" w:type="dxa"/>
            <w:gridSpan w:val="3"/>
            <w:shd w:val="clear" w:color="auto" w:fill="F2F2F2" w:themeFill="background1" w:themeFillShade="F2"/>
          </w:tcPr>
          <w:p w14:paraId="7828EDD3" w14:textId="46E21DD1" w:rsidR="00F74744" w:rsidRPr="00D408DD" w:rsidRDefault="00F74744" w:rsidP="006B7CB4">
            <w:pPr>
              <w:rPr>
                <w:i/>
              </w:rPr>
            </w:pPr>
            <w:r w:rsidRPr="00D408DD">
              <w:rPr>
                <w:i/>
              </w:rPr>
              <w:t xml:space="preserve">Definition </w:t>
            </w:r>
            <w:r w:rsidR="00B40654">
              <w:rPr>
                <w:i/>
              </w:rPr>
              <w:t xml:space="preserve">Höhe </w:t>
            </w:r>
            <w:r w:rsidRPr="00D408DD">
              <w:rPr>
                <w:i/>
              </w:rPr>
              <w:t>Kantonsbeitrag</w:t>
            </w:r>
          </w:p>
        </w:tc>
      </w:tr>
      <w:tr w:rsidR="00F74744" w14:paraId="70513943" w14:textId="77777777" w:rsidTr="006B7CB4">
        <w:tc>
          <w:tcPr>
            <w:tcW w:w="6799" w:type="dxa"/>
          </w:tcPr>
          <w:p w14:paraId="7C95F6DB" w14:textId="77777777" w:rsidR="00F74744" w:rsidRDefault="00F74744" w:rsidP="006B7CB4">
            <w:r>
              <w:t>Überprüfung und ggf. Revision Kantonsbeitrag (Vo MBG)</w:t>
            </w:r>
          </w:p>
        </w:tc>
        <w:tc>
          <w:tcPr>
            <w:tcW w:w="1276" w:type="dxa"/>
          </w:tcPr>
          <w:p w14:paraId="202C2A98" w14:textId="77777777" w:rsidR="00F74744" w:rsidRDefault="00F74744" w:rsidP="006B7CB4">
            <w:r>
              <w:t>Regierungsrat</w:t>
            </w:r>
          </w:p>
        </w:tc>
        <w:tc>
          <w:tcPr>
            <w:tcW w:w="1546" w:type="dxa"/>
          </w:tcPr>
          <w:p w14:paraId="596AC695" w14:textId="77777777" w:rsidR="00F74744" w:rsidRDefault="00F74744" w:rsidP="006B7CB4">
            <w:r>
              <w:t>Laufend/ spätestens 2029</w:t>
            </w:r>
          </w:p>
        </w:tc>
      </w:tr>
    </w:tbl>
    <w:p w14:paraId="6609101A" w14:textId="77777777" w:rsidR="00F74744" w:rsidRPr="00FE2AF7" w:rsidRDefault="00F74744" w:rsidP="00D055A4">
      <w:pPr>
        <w:tabs>
          <w:tab w:val="clear" w:pos="5103"/>
          <w:tab w:val="left" w:pos="142"/>
        </w:tabs>
        <w:spacing w:after="120"/>
        <w:jc w:val="both"/>
      </w:pPr>
    </w:p>
    <w:p w14:paraId="132566C0" w14:textId="2DB92FC6" w:rsidR="00CF5DD5" w:rsidRDefault="00CF5DD5" w:rsidP="00FE2AF7">
      <w:r>
        <w:br w:type="page"/>
      </w:r>
    </w:p>
    <w:p w14:paraId="53C7F6CE" w14:textId="77777777" w:rsidR="003E4858" w:rsidRDefault="00CF5DD5" w:rsidP="00CF5DD5">
      <w:pPr>
        <w:pStyle w:val="berschrift1"/>
        <w:numPr>
          <w:ilvl w:val="0"/>
          <w:numId w:val="0"/>
        </w:numPr>
        <w:ind w:left="567" w:hanging="567"/>
      </w:pPr>
      <w:bookmarkStart w:id="101" w:name="_Toc151475973"/>
      <w:r>
        <w:t>Anhang 1: Begriffserläuterung Mietzinsbeitragsgesetz</w:t>
      </w:r>
      <w:bookmarkEnd w:id="101"/>
    </w:p>
    <w:p w14:paraId="38A1A629" w14:textId="77777777" w:rsidR="003E4858" w:rsidRDefault="003E4858" w:rsidP="003E4858">
      <w:pPr>
        <w:rPr>
          <w:rFonts w:cs="Arial"/>
          <w:color w:val="000000"/>
        </w:rPr>
      </w:pPr>
      <w:r>
        <w:rPr>
          <w:rFonts w:cs="Arial"/>
          <w:color w:val="000000"/>
        </w:rPr>
        <w:t>Zur besseren Verständlichkeit werden im Folgenden die wichtigsten Begriffe des totalrevidierten Mietzinsbeitragsgesetzes erläutert:</w:t>
      </w:r>
    </w:p>
    <w:p w14:paraId="2C7037FB" w14:textId="77777777" w:rsidR="003E4858" w:rsidRDefault="003E4858" w:rsidP="003E4858">
      <w:pPr>
        <w:rPr>
          <w:rFonts w:cs="Arial"/>
          <w:color w:val="000000"/>
        </w:rPr>
      </w:pPr>
      <w:r>
        <w:rPr>
          <w:rFonts w:cs="Arial"/>
          <w:color w:val="000000"/>
          <w:u w:val="single"/>
        </w:rPr>
        <w:t>Einkommens</w:t>
      </w:r>
      <w:r w:rsidRPr="004918B2">
        <w:rPr>
          <w:rFonts w:cs="Arial"/>
          <w:color w:val="000000"/>
          <w:u w:val="single"/>
        </w:rPr>
        <w:t>grenze</w:t>
      </w:r>
      <w:r>
        <w:rPr>
          <w:rFonts w:cs="Arial"/>
          <w:color w:val="000000"/>
        </w:rPr>
        <w:t xml:space="preserve">: </w:t>
      </w:r>
    </w:p>
    <w:p w14:paraId="68205DCA" w14:textId="77777777" w:rsidR="003E4858" w:rsidRDefault="003E4858" w:rsidP="003E4858">
      <w:pPr>
        <w:rPr>
          <w:rFonts w:cs="Arial"/>
          <w:color w:val="000000"/>
        </w:rPr>
      </w:pPr>
      <w:r>
        <w:rPr>
          <w:rFonts w:cs="Arial"/>
          <w:color w:val="000000"/>
        </w:rPr>
        <w:t xml:space="preserve">Wird die Einkommensgrenze überschritten, besteht kein Anspruch auf Mietzinsbeiträge. Die Einkommensgrenze setzt sich folgendermassen zusammen: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3E4858" w:rsidRPr="00394B05" w14:paraId="00598EFA" w14:textId="77777777" w:rsidTr="005851DB">
        <w:tc>
          <w:tcPr>
            <w:tcW w:w="534" w:type="dxa"/>
          </w:tcPr>
          <w:p w14:paraId="3CBB04C5" w14:textId="77777777" w:rsidR="003E4858" w:rsidRPr="00394B05" w:rsidRDefault="003E4858" w:rsidP="005851DB">
            <w:pPr>
              <w:spacing w:after="0"/>
              <w:rPr>
                <w:rFonts w:cs="Arial"/>
                <w:i/>
                <w:color w:val="000000"/>
              </w:rPr>
            </w:pPr>
          </w:p>
        </w:tc>
        <w:tc>
          <w:tcPr>
            <w:tcW w:w="8678" w:type="dxa"/>
          </w:tcPr>
          <w:p w14:paraId="6DB2D31A" w14:textId="77777777" w:rsidR="003E4858" w:rsidRPr="00394B05" w:rsidRDefault="003E4858" w:rsidP="005851DB">
            <w:pPr>
              <w:spacing w:after="0"/>
              <w:rPr>
                <w:rFonts w:cs="Arial"/>
                <w:i/>
                <w:color w:val="000000"/>
              </w:rPr>
            </w:pPr>
            <w:r w:rsidRPr="00394B05">
              <w:rPr>
                <w:rFonts w:cs="Arial"/>
                <w:i/>
                <w:color w:val="000000"/>
              </w:rPr>
              <w:t xml:space="preserve">130 % </w:t>
            </w:r>
            <w:r>
              <w:rPr>
                <w:rFonts w:cs="Arial"/>
                <w:i/>
                <w:color w:val="000000"/>
              </w:rPr>
              <w:t xml:space="preserve">Sozialhilfegrundbedarf (im Folgenden: </w:t>
            </w:r>
            <w:r w:rsidRPr="00394B05">
              <w:rPr>
                <w:rFonts w:cs="Arial"/>
                <w:i/>
                <w:color w:val="000000"/>
              </w:rPr>
              <w:t>SH-Grundbedarf</w:t>
            </w:r>
            <w:r>
              <w:rPr>
                <w:rFonts w:cs="Arial"/>
                <w:i/>
                <w:color w:val="000000"/>
              </w:rPr>
              <w:t>)</w:t>
            </w:r>
            <w:r w:rsidRPr="00394B05">
              <w:rPr>
                <w:rFonts w:cs="Arial"/>
                <w:i/>
                <w:color w:val="000000"/>
              </w:rPr>
              <w:tab/>
            </w:r>
          </w:p>
        </w:tc>
      </w:tr>
      <w:tr w:rsidR="003E4858" w:rsidRPr="00394B05" w14:paraId="456B4349" w14:textId="77777777" w:rsidTr="005851DB">
        <w:tc>
          <w:tcPr>
            <w:tcW w:w="534" w:type="dxa"/>
          </w:tcPr>
          <w:p w14:paraId="06CEAA1F" w14:textId="77777777" w:rsidR="003E4858" w:rsidRPr="00394B05" w:rsidRDefault="003E4858" w:rsidP="005851DB">
            <w:pPr>
              <w:spacing w:after="0"/>
              <w:rPr>
                <w:rFonts w:cs="Arial"/>
                <w:i/>
                <w:color w:val="000000"/>
              </w:rPr>
            </w:pPr>
            <w:r w:rsidRPr="00394B05">
              <w:rPr>
                <w:rFonts w:cs="Arial"/>
                <w:i/>
                <w:color w:val="000000"/>
              </w:rPr>
              <w:t>+</w:t>
            </w:r>
          </w:p>
        </w:tc>
        <w:tc>
          <w:tcPr>
            <w:tcW w:w="8678" w:type="dxa"/>
          </w:tcPr>
          <w:p w14:paraId="41611B90" w14:textId="77777777" w:rsidR="003E4858" w:rsidRPr="00394B05" w:rsidRDefault="003E4858" w:rsidP="005851DB">
            <w:pPr>
              <w:spacing w:after="0"/>
              <w:rPr>
                <w:rFonts w:cs="Arial"/>
                <w:i/>
                <w:color w:val="000000"/>
              </w:rPr>
            </w:pPr>
            <w:r w:rsidRPr="00394B05">
              <w:rPr>
                <w:rFonts w:cs="Arial"/>
                <w:i/>
                <w:color w:val="000000"/>
              </w:rPr>
              <w:t>effektive Prämien der obligatorischen Krankenpflegeversicherung bis maximal die regionalen Durchschnittsprämien</w:t>
            </w:r>
          </w:p>
        </w:tc>
      </w:tr>
      <w:tr w:rsidR="003E4858" w:rsidRPr="00394B05" w14:paraId="48DEA441" w14:textId="77777777" w:rsidTr="005851DB">
        <w:tc>
          <w:tcPr>
            <w:tcW w:w="534" w:type="dxa"/>
          </w:tcPr>
          <w:p w14:paraId="3F012C39" w14:textId="77777777" w:rsidR="003E4858" w:rsidRPr="00394B05" w:rsidRDefault="003E4858" w:rsidP="005851DB">
            <w:pPr>
              <w:spacing w:after="0"/>
              <w:rPr>
                <w:rFonts w:cs="Arial"/>
                <w:i/>
                <w:color w:val="000000"/>
              </w:rPr>
            </w:pPr>
            <w:r w:rsidRPr="00394B05">
              <w:rPr>
                <w:rFonts w:cs="Arial"/>
                <w:i/>
                <w:color w:val="000000"/>
              </w:rPr>
              <w:t>+</w:t>
            </w:r>
          </w:p>
        </w:tc>
        <w:tc>
          <w:tcPr>
            <w:tcW w:w="8678" w:type="dxa"/>
          </w:tcPr>
          <w:p w14:paraId="2B0A6558" w14:textId="77777777" w:rsidR="003E4858" w:rsidRPr="00394B05" w:rsidRDefault="003E4858" w:rsidP="005851DB">
            <w:pPr>
              <w:spacing w:after="0"/>
              <w:rPr>
                <w:rFonts w:cs="Arial"/>
                <w:i/>
                <w:color w:val="000000"/>
              </w:rPr>
            </w:pPr>
            <w:r>
              <w:rPr>
                <w:rFonts w:cs="Arial"/>
                <w:i/>
                <w:color w:val="000000"/>
              </w:rPr>
              <w:t>effektive</w:t>
            </w:r>
            <w:r w:rsidRPr="0025385F">
              <w:rPr>
                <w:rFonts w:cs="Arial"/>
                <w:i/>
                <w:color w:val="000000"/>
              </w:rPr>
              <w:t xml:space="preserve"> Jahresnettomiete bis maximal die angemessene Jahresnettomiete, die mindestens dem durch die Gemeinde festgelegten Mietzinsgrenzwert</w:t>
            </w:r>
            <w:r>
              <w:rPr>
                <w:rFonts w:cs="Arial"/>
                <w:i/>
                <w:color w:val="000000"/>
              </w:rPr>
              <w:t xml:space="preserve"> in der Sozialhilfe</w:t>
            </w:r>
            <w:r w:rsidRPr="0025385F">
              <w:rPr>
                <w:rFonts w:cs="Arial"/>
                <w:i/>
                <w:color w:val="000000"/>
              </w:rPr>
              <w:t xml:space="preserve"> entspricht, zuzüglich 20 % der Nettomiete als Nebenkosten</w:t>
            </w:r>
          </w:p>
        </w:tc>
      </w:tr>
      <w:tr w:rsidR="003E4858" w:rsidRPr="00394B05" w14:paraId="105B4C9D" w14:textId="77777777" w:rsidTr="005851DB">
        <w:tc>
          <w:tcPr>
            <w:tcW w:w="534" w:type="dxa"/>
          </w:tcPr>
          <w:p w14:paraId="20502FCD" w14:textId="77777777" w:rsidR="003E4858" w:rsidRPr="00394B05" w:rsidRDefault="003E4858" w:rsidP="005851DB">
            <w:pPr>
              <w:spacing w:after="0"/>
              <w:rPr>
                <w:rFonts w:cs="Arial"/>
                <w:i/>
                <w:color w:val="000000"/>
              </w:rPr>
            </w:pPr>
            <w:r w:rsidRPr="00394B05">
              <w:rPr>
                <w:rFonts w:cs="Arial"/>
                <w:i/>
                <w:color w:val="000000"/>
              </w:rPr>
              <w:t>+</w:t>
            </w:r>
          </w:p>
        </w:tc>
        <w:tc>
          <w:tcPr>
            <w:tcW w:w="8678" w:type="dxa"/>
          </w:tcPr>
          <w:p w14:paraId="3F468B50" w14:textId="53E87AAF" w:rsidR="003E4858" w:rsidRPr="00394B05" w:rsidRDefault="003E4858" w:rsidP="005851DB">
            <w:pPr>
              <w:spacing w:after="0"/>
              <w:rPr>
                <w:rFonts w:cs="Arial"/>
                <w:i/>
                <w:color w:val="000000"/>
              </w:rPr>
            </w:pPr>
            <w:r w:rsidRPr="00394B05">
              <w:rPr>
                <w:rFonts w:cs="Arial"/>
                <w:i/>
                <w:color w:val="000000"/>
              </w:rPr>
              <w:t xml:space="preserve">effektive </w:t>
            </w:r>
            <w:r w:rsidR="00B3724B">
              <w:rPr>
                <w:bCs/>
              </w:rPr>
              <w:t xml:space="preserve"> </w:t>
            </w:r>
            <w:r w:rsidR="00B3724B" w:rsidRPr="00375012">
              <w:rPr>
                <w:bCs/>
                <w:i/>
              </w:rPr>
              <w:t>d.h. selbstgetragene</w:t>
            </w:r>
            <w:r w:rsidR="00B3724B">
              <w:rPr>
                <w:bCs/>
              </w:rPr>
              <w:t xml:space="preserve"> </w:t>
            </w:r>
            <w:r w:rsidRPr="00394B05">
              <w:rPr>
                <w:rFonts w:cs="Arial"/>
                <w:i/>
                <w:color w:val="000000"/>
              </w:rPr>
              <w:t>Kosten für familienergänzende Kinderbetreuung</w:t>
            </w:r>
          </w:p>
        </w:tc>
      </w:tr>
      <w:tr w:rsidR="003E4858" w:rsidRPr="00394B05" w14:paraId="0B8087F9" w14:textId="77777777" w:rsidTr="005851DB">
        <w:tc>
          <w:tcPr>
            <w:tcW w:w="534" w:type="dxa"/>
          </w:tcPr>
          <w:p w14:paraId="1996E0A1" w14:textId="77777777" w:rsidR="003E4858" w:rsidRPr="00394B05" w:rsidRDefault="003E4858" w:rsidP="005851DB">
            <w:pPr>
              <w:spacing w:after="0"/>
              <w:rPr>
                <w:rFonts w:cs="Arial"/>
                <w:i/>
                <w:color w:val="000000"/>
              </w:rPr>
            </w:pPr>
            <w:r w:rsidRPr="00394B05">
              <w:rPr>
                <w:rFonts w:cs="Arial"/>
                <w:i/>
                <w:color w:val="000000"/>
              </w:rPr>
              <w:t>=</w:t>
            </w:r>
          </w:p>
        </w:tc>
        <w:tc>
          <w:tcPr>
            <w:tcW w:w="8678" w:type="dxa"/>
          </w:tcPr>
          <w:p w14:paraId="4C343FCD" w14:textId="77777777" w:rsidR="003E4858" w:rsidRPr="00394B05" w:rsidRDefault="003E4858" w:rsidP="005851DB">
            <w:pPr>
              <w:spacing w:after="0"/>
              <w:rPr>
                <w:rFonts w:cs="Arial"/>
                <w:i/>
                <w:color w:val="000000"/>
              </w:rPr>
            </w:pPr>
            <w:r>
              <w:rPr>
                <w:rFonts w:cs="Arial"/>
                <w:i/>
                <w:color w:val="000000"/>
              </w:rPr>
              <w:t>Einkommensgrenze</w:t>
            </w:r>
          </w:p>
        </w:tc>
      </w:tr>
    </w:tbl>
    <w:p w14:paraId="5CED0F88" w14:textId="77777777" w:rsidR="003E4858" w:rsidRDefault="003E4858" w:rsidP="003E4858">
      <w:pPr>
        <w:rPr>
          <w:rFonts w:cs="Arial"/>
          <w:color w:val="000000"/>
          <w:u w:val="single"/>
        </w:rPr>
      </w:pPr>
    </w:p>
    <w:p w14:paraId="0D79B777" w14:textId="77777777" w:rsidR="003E4858" w:rsidRDefault="003E4858" w:rsidP="003E4858">
      <w:pPr>
        <w:rPr>
          <w:rFonts w:cs="Arial"/>
          <w:color w:val="000000"/>
        </w:rPr>
      </w:pPr>
      <w:r>
        <w:rPr>
          <w:rFonts w:cs="Arial"/>
          <w:color w:val="000000"/>
          <w:u w:val="single"/>
        </w:rPr>
        <w:t>Vermögensgrenze</w:t>
      </w:r>
      <w:r>
        <w:rPr>
          <w:rFonts w:cs="Arial"/>
          <w:color w:val="000000"/>
        </w:rPr>
        <w:t xml:space="preserve">: </w:t>
      </w:r>
    </w:p>
    <w:p w14:paraId="118008A8" w14:textId="77777777" w:rsidR="003E4858" w:rsidRPr="00A30E55" w:rsidRDefault="003E4858" w:rsidP="003E4858">
      <w:pPr>
        <w:rPr>
          <w:rFonts w:cs="Arial"/>
          <w:color w:val="000000"/>
        </w:rPr>
      </w:pPr>
      <w:r>
        <w:rPr>
          <w:rFonts w:cs="Arial"/>
          <w:color w:val="000000"/>
        </w:rPr>
        <w:t>Wird die Vermögensgrenze überschritten, besteht kein Anspruch auf Mietzinsbeiträge. Die Vermögensgrenze beträgt mindestens das Fünffache des Vermögensfreibetrags in der Sozialhilfe.</w:t>
      </w:r>
    </w:p>
    <w:p w14:paraId="77D8BFE3" w14:textId="77777777" w:rsidR="003E4858" w:rsidRPr="003A75F9" w:rsidRDefault="003E4858" w:rsidP="003E4858">
      <w:pPr>
        <w:rPr>
          <w:rFonts w:cs="Arial"/>
          <w:color w:val="000000"/>
          <w:u w:val="single"/>
        </w:rPr>
      </w:pPr>
      <w:r w:rsidRPr="003A75F9">
        <w:rPr>
          <w:rFonts w:cs="Arial"/>
          <w:color w:val="000000"/>
          <w:u w:val="single"/>
        </w:rPr>
        <w:t xml:space="preserve">Allgemeiner Lebensbedarf: </w:t>
      </w:r>
    </w:p>
    <w:p w14:paraId="514663C5" w14:textId="77777777" w:rsidR="003E4858" w:rsidRDefault="003E4858" w:rsidP="003E4858">
      <w:pPr>
        <w:rPr>
          <w:rFonts w:cs="Arial"/>
          <w:color w:val="000000"/>
        </w:rPr>
      </w:pPr>
      <w:r>
        <w:rPr>
          <w:rFonts w:cs="Arial"/>
          <w:color w:val="000000"/>
        </w:rPr>
        <w:t>Der allgemeine Lebensbedarf umfasst alle Ausgaben analog dem Grundbedarf in der Sozialhilfe und beträgt 130 % des Grundbedarfs in der Sozialhilfe.</w:t>
      </w:r>
    </w:p>
    <w:p w14:paraId="146E6399" w14:textId="77777777" w:rsidR="003E4858" w:rsidRPr="00766774" w:rsidRDefault="003E4858" w:rsidP="003E4858">
      <w:pPr>
        <w:rPr>
          <w:rFonts w:cs="Arial"/>
          <w:color w:val="000000"/>
          <w:u w:val="single"/>
        </w:rPr>
      </w:pPr>
      <w:r w:rsidRPr="00766774">
        <w:rPr>
          <w:rFonts w:cs="Arial"/>
          <w:color w:val="000000"/>
          <w:u w:val="single"/>
        </w:rPr>
        <w:t xml:space="preserve">Effektive Jahresnettomiete: </w:t>
      </w:r>
    </w:p>
    <w:p w14:paraId="4C054F51" w14:textId="471ACD23" w:rsidR="003E4858" w:rsidRPr="00A475F6" w:rsidRDefault="003E4858" w:rsidP="003E4858">
      <w:pPr>
        <w:rPr>
          <w:rFonts w:cs="Arial"/>
          <w:color w:val="000000"/>
        </w:rPr>
      </w:pPr>
      <w:r>
        <w:rPr>
          <w:rFonts w:cs="Arial"/>
          <w:color w:val="000000"/>
        </w:rPr>
        <w:t xml:space="preserve">Die effektive Jahresnettomiete entspricht den jährlichen Wohnungskosten einer Unterstützungseinheit exkl. Nebenkosten. </w:t>
      </w:r>
    </w:p>
    <w:p w14:paraId="02C0C28D" w14:textId="77777777" w:rsidR="003E4858" w:rsidRDefault="003E4858" w:rsidP="003E4858">
      <w:pPr>
        <w:rPr>
          <w:rFonts w:cs="Arial"/>
          <w:color w:val="000000"/>
        </w:rPr>
      </w:pPr>
      <w:r w:rsidRPr="004918B2">
        <w:rPr>
          <w:rFonts w:cs="Arial"/>
          <w:color w:val="000000"/>
          <w:u w:val="single"/>
        </w:rPr>
        <w:t xml:space="preserve">Angemessene </w:t>
      </w:r>
      <w:r>
        <w:rPr>
          <w:rFonts w:cs="Arial"/>
          <w:color w:val="000000"/>
          <w:u w:val="single"/>
        </w:rPr>
        <w:t>Jahresnettomiete</w:t>
      </w:r>
      <w:r>
        <w:rPr>
          <w:rFonts w:cs="Arial"/>
          <w:color w:val="000000"/>
        </w:rPr>
        <w:t>:</w:t>
      </w:r>
    </w:p>
    <w:p w14:paraId="37F452D2" w14:textId="77777777" w:rsidR="003E4858" w:rsidRDefault="003E4858" w:rsidP="003E4858">
      <w:pPr>
        <w:rPr>
          <w:rFonts w:cs="Arial"/>
          <w:color w:val="000000"/>
        </w:rPr>
      </w:pPr>
      <w:r w:rsidRPr="004918B2">
        <w:rPr>
          <w:rFonts w:cs="Arial"/>
          <w:color w:val="000000"/>
        </w:rPr>
        <w:t xml:space="preserve">Die Angemessenheit der </w:t>
      </w:r>
      <w:r>
        <w:rPr>
          <w:rFonts w:cs="Arial"/>
          <w:color w:val="000000"/>
        </w:rPr>
        <w:t>Jahresnettomiete</w:t>
      </w:r>
      <w:r w:rsidRPr="004918B2">
        <w:rPr>
          <w:rFonts w:cs="Arial"/>
          <w:color w:val="000000"/>
        </w:rPr>
        <w:t xml:space="preserve"> richtet sich nach der Haushaltsgrösse und nach den örtlichen Wohnungsmarktverhältnissen.</w:t>
      </w:r>
      <w:r>
        <w:rPr>
          <w:rFonts w:cs="Arial"/>
          <w:color w:val="000000"/>
        </w:rPr>
        <w:t xml:space="preserve"> Die angemessene Jahresnettomiete entspricht mindestens dem durch die Gemeinde festgelegten Mietzinsgrenzwert in der Sozialhilfe zuzüglich 20 % der Nettowohnungskosten als Nebenkosten.</w:t>
      </w:r>
    </w:p>
    <w:p w14:paraId="331A1397" w14:textId="77777777" w:rsidR="003E4858" w:rsidRDefault="003E4858" w:rsidP="003E4858">
      <w:pPr>
        <w:rPr>
          <w:rFonts w:cs="Arial"/>
          <w:color w:val="000000"/>
        </w:rPr>
      </w:pPr>
      <w:r w:rsidRPr="008D1AE8">
        <w:rPr>
          <w:rFonts w:cs="Arial"/>
          <w:color w:val="000000"/>
          <w:u w:val="single"/>
        </w:rPr>
        <w:t>Mietzinsgrenzwert</w:t>
      </w:r>
      <w:r>
        <w:rPr>
          <w:rFonts w:cs="Arial"/>
          <w:color w:val="000000"/>
        </w:rPr>
        <w:t xml:space="preserve">: </w:t>
      </w:r>
    </w:p>
    <w:p w14:paraId="0A6E5569" w14:textId="77777777" w:rsidR="003E4858" w:rsidRDefault="003E4858" w:rsidP="003E4858">
      <w:pPr>
        <w:rPr>
          <w:rFonts w:cs="Arial"/>
          <w:color w:val="000000"/>
        </w:rPr>
      </w:pPr>
      <w:r>
        <w:rPr>
          <w:rFonts w:cs="Arial"/>
          <w:color w:val="000000"/>
        </w:rPr>
        <w:t>Die Gemeinden legen für die Sozialhilfe angemessene Wohnungskosten bzw. den sogenannten Mietzinsgrenzwert fest. Es ist den Gemeinden dabei freigestellt, ob sie die Nettowohnungskosten oder die Bruttowohnungskosten festlegen. Ist ersteres der Fall, müssen für die Berechnung der Mietzinsbeiträge 20 % der Nettowohnungskosten als Nebenkosten hinzugerechnet werden.</w:t>
      </w:r>
    </w:p>
    <w:p w14:paraId="45CF508C" w14:textId="77777777" w:rsidR="003E4858" w:rsidRDefault="003E4858" w:rsidP="003E4858">
      <w:pPr>
        <w:rPr>
          <w:rFonts w:cs="Arial"/>
          <w:color w:val="000000"/>
        </w:rPr>
      </w:pPr>
      <w:r>
        <w:rPr>
          <w:rFonts w:cs="Arial"/>
          <w:color w:val="000000"/>
          <w:u w:val="single"/>
        </w:rPr>
        <w:t>M</w:t>
      </w:r>
      <w:r w:rsidRPr="00B3597E">
        <w:rPr>
          <w:rFonts w:cs="Arial"/>
          <w:color w:val="000000"/>
          <w:u w:val="single"/>
        </w:rPr>
        <w:t>assgebliche</w:t>
      </w:r>
      <w:r>
        <w:rPr>
          <w:rFonts w:cs="Arial"/>
          <w:color w:val="000000"/>
          <w:u w:val="single"/>
        </w:rPr>
        <w:t>s</w:t>
      </w:r>
      <w:r w:rsidRPr="00B3597E">
        <w:rPr>
          <w:rFonts w:cs="Arial"/>
          <w:color w:val="000000"/>
          <w:u w:val="single"/>
        </w:rPr>
        <w:t xml:space="preserve"> Einkommen</w:t>
      </w:r>
      <w:r>
        <w:rPr>
          <w:rFonts w:cs="Arial"/>
          <w:color w:val="000000"/>
        </w:rPr>
        <w:t xml:space="preserve">: </w:t>
      </w:r>
    </w:p>
    <w:p w14:paraId="3D51D590" w14:textId="77777777" w:rsidR="003E4858" w:rsidRDefault="003E4858" w:rsidP="003E4858">
      <w:pPr>
        <w:rPr>
          <w:rFonts w:cs="Arial"/>
          <w:color w:val="000000"/>
        </w:rPr>
      </w:pPr>
      <w:r>
        <w:rPr>
          <w:rFonts w:cs="Arial"/>
          <w:color w:val="000000"/>
        </w:rPr>
        <w:t xml:space="preserve">Das massgebliche Einkommen der Unterstützungseinheit setzt sich aus deren allen Einkünften zusammen. Es dient zur Berechnung der Höhe des Mietzinsbeitrags. Dazu wird derjenige Teil des Einkommens, der 130 % des Grundbedarfs in der Sozialhilfe entspricht, zu 100 % angerechnet. Derjenige Teil des Einkommens, der 130 % des Grundbedarfs in der Sozialhilfe übersteigt, wird hingegen nur bis zu 75 % angerechnet.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41"/>
      </w:tblGrid>
      <w:tr w:rsidR="003E4858" w:rsidRPr="00394B05" w14:paraId="4CC44223" w14:textId="77777777" w:rsidTr="005851DB">
        <w:tc>
          <w:tcPr>
            <w:tcW w:w="421" w:type="dxa"/>
          </w:tcPr>
          <w:p w14:paraId="077AD2D4" w14:textId="77777777" w:rsidR="003E4858" w:rsidRPr="00394B05" w:rsidRDefault="003E4858" w:rsidP="005851DB">
            <w:pPr>
              <w:spacing w:after="0"/>
              <w:rPr>
                <w:rFonts w:cs="Arial"/>
                <w:i/>
                <w:color w:val="000000"/>
              </w:rPr>
            </w:pPr>
          </w:p>
        </w:tc>
        <w:tc>
          <w:tcPr>
            <w:tcW w:w="8641" w:type="dxa"/>
          </w:tcPr>
          <w:p w14:paraId="0DF6B682" w14:textId="77777777" w:rsidR="003E4858" w:rsidRPr="00394B05" w:rsidRDefault="003E4858" w:rsidP="005851DB">
            <w:pPr>
              <w:spacing w:after="0"/>
              <w:contextualSpacing/>
              <w:rPr>
                <w:rFonts w:cs="Arial"/>
                <w:i/>
                <w:color w:val="000000"/>
              </w:rPr>
            </w:pPr>
            <w:r w:rsidRPr="00394B05">
              <w:rPr>
                <w:rFonts w:cs="Arial"/>
                <w:i/>
                <w:color w:val="000000"/>
              </w:rPr>
              <w:t>130 % SH-Grundbedarf</w:t>
            </w:r>
          </w:p>
        </w:tc>
      </w:tr>
      <w:tr w:rsidR="003E4858" w:rsidRPr="00394B05" w14:paraId="09432E88" w14:textId="77777777" w:rsidTr="005851DB">
        <w:tc>
          <w:tcPr>
            <w:tcW w:w="421" w:type="dxa"/>
          </w:tcPr>
          <w:p w14:paraId="202A194D" w14:textId="77777777" w:rsidR="003E4858" w:rsidRPr="00394B05" w:rsidRDefault="003E4858" w:rsidP="005851DB">
            <w:pPr>
              <w:spacing w:after="0"/>
              <w:rPr>
                <w:rFonts w:cs="Arial"/>
                <w:i/>
                <w:color w:val="000000"/>
              </w:rPr>
            </w:pPr>
            <w:r w:rsidRPr="00394B05">
              <w:rPr>
                <w:rFonts w:cs="Arial"/>
                <w:i/>
                <w:color w:val="000000"/>
              </w:rPr>
              <w:t>+</w:t>
            </w:r>
          </w:p>
        </w:tc>
        <w:tc>
          <w:tcPr>
            <w:tcW w:w="8641" w:type="dxa"/>
          </w:tcPr>
          <w:p w14:paraId="0A19579F" w14:textId="77777777" w:rsidR="003E4858" w:rsidRPr="00394B05" w:rsidRDefault="003E4858" w:rsidP="005851DB">
            <w:pPr>
              <w:spacing w:after="0"/>
              <w:contextualSpacing/>
              <w:rPr>
                <w:rFonts w:cs="Arial"/>
                <w:i/>
                <w:color w:val="000000"/>
              </w:rPr>
            </w:pPr>
            <w:r>
              <w:rPr>
                <w:rFonts w:cs="Arial"/>
                <w:i/>
                <w:color w:val="000000"/>
              </w:rPr>
              <w:t>75 % * (J</w:t>
            </w:r>
            <w:r w:rsidRPr="00394B05">
              <w:rPr>
                <w:rFonts w:cs="Arial"/>
                <w:i/>
                <w:color w:val="000000"/>
              </w:rPr>
              <w:t>ahres</w:t>
            </w:r>
            <w:r>
              <w:rPr>
                <w:rFonts w:cs="Arial"/>
                <w:i/>
                <w:color w:val="000000"/>
              </w:rPr>
              <w:t>netto</w:t>
            </w:r>
            <w:r w:rsidRPr="00394B05">
              <w:rPr>
                <w:rFonts w:cs="Arial"/>
                <w:i/>
                <w:color w:val="000000"/>
              </w:rPr>
              <w:t>einkommen - 130 % SH-Grundbedarf)</w:t>
            </w:r>
          </w:p>
        </w:tc>
      </w:tr>
      <w:tr w:rsidR="003E4858" w:rsidRPr="00394B05" w14:paraId="2866F01F" w14:textId="77777777" w:rsidTr="005851DB">
        <w:tc>
          <w:tcPr>
            <w:tcW w:w="421" w:type="dxa"/>
          </w:tcPr>
          <w:p w14:paraId="715CBA9F" w14:textId="77777777" w:rsidR="003E4858" w:rsidRPr="00394B05" w:rsidRDefault="003E4858" w:rsidP="005851DB">
            <w:pPr>
              <w:spacing w:after="0"/>
              <w:rPr>
                <w:rFonts w:cs="Arial"/>
                <w:i/>
                <w:color w:val="000000"/>
              </w:rPr>
            </w:pPr>
            <w:r w:rsidRPr="00394B05">
              <w:rPr>
                <w:rFonts w:cs="Arial"/>
                <w:i/>
                <w:color w:val="000000"/>
              </w:rPr>
              <w:t>=</w:t>
            </w:r>
          </w:p>
        </w:tc>
        <w:tc>
          <w:tcPr>
            <w:tcW w:w="8641" w:type="dxa"/>
          </w:tcPr>
          <w:p w14:paraId="0D704DD7" w14:textId="77777777" w:rsidR="003E4858" w:rsidRPr="00394B05" w:rsidRDefault="003E4858" w:rsidP="005851DB">
            <w:pPr>
              <w:spacing w:after="0"/>
              <w:contextualSpacing/>
              <w:rPr>
                <w:rFonts w:cs="Arial"/>
                <w:i/>
                <w:color w:val="000000"/>
              </w:rPr>
            </w:pPr>
            <w:r w:rsidRPr="00394B05">
              <w:rPr>
                <w:rFonts w:cs="Arial"/>
                <w:i/>
                <w:color w:val="000000"/>
              </w:rPr>
              <w:t>Massgebliches Einkommen</w:t>
            </w:r>
          </w:p>
        </w:tc>
      </w:tr>
    </w:tbl>
    <w:p w14:paraId="1016A5E3" w14:textId="77777777" w:rsidR="003E4858" w:rsidRDefault="003E4858" w:rsidP="003E4858">
      <w:pPr>
        <w:rPr>
          <w:rFonts w:cs="Arial"/>
          <w:color w:val="000000"/>
          <w:u w:val="single"/>
        </w:rPr>
      </w:pPr>
    </w:p>
    <w:p w14:paraId="4FE6BA06" w14:textId="77777777" w:rsidR="003E4858" w:rsidRDefault="003E4858" w:rsidP="003E4858">
      <w:pPr>
        <w:rPr>
          <w:rFonts w:cs="Arial"/>
          <w:color w:val="000000"/>
        </w:rPr>
      </w:pPr>
      <w:r w:rsidRPr="00E67F02">
        <w:rPr>
          <w:rFonts w:cs="Arial"/>
          <w:color w:val="000000"/>
          <w:u w:val="single"/>
        </w:rPr>
        <w:t>Tragbares Mass der Mietzinsbelastung</w:t>
      </w:r>
      <w:r>
        <w:rPr>
          <w:rFonts w:cs="Arial"/>
          <w:color w:val="000000"/>
        </w:rPr>
        <w:t xml:space="preserve">: </w:t>
      </w:r>
    </w:p>
    <w:p w14:paraId="617B59BC" w14:textId="77777777" w:rsidR="003E4858" w:rsidRDefault="003E4858" w:rsidP="003E4858">
      <w:pPr>
        <w:rPr>
          <w:rFonts w:cs="Arial"/>
          <w:color w:val="000000"/>
        </w:rPr>
      </w:pPr>
      <w:r>
        <w:rPr>
          <w:rFonts w:cs="Arial"/>
          <w:color w:val="000000"/>
        </w:rPr>
        <w:t xml:space="preserve">Das tragbare Mass der Mietzinsbelastung für eine Unterstützungseinheit ist die Differenz des massgeblichen Einkommens zu den anerkannten Ausgaben: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820"/>
      </w:tblGrid>
      <w:tr w:rsidR="003E4858" w14:paraId="3F7D0295" w14:textId="77777777" w:rsidTr="005851DB">
        <w:tc>
          <w:tcPr>
            <w:tcW w:w="391" w:type="dxa"/>
          </w:tcPr>
          <w:p w14:paraId="542E6E2B" w14:textId="77777777" w:rsidR="003E4858" w:rsidRDefault="003E4858" w:rsidP="005851DB">
            <w:pPr>
              <w:spacing w:after="0"/>
              <w:rPr>
                <w:rFonts w:cs="Arial"/>
                <w:color w:val="000000"/>
              </w:rPr>
            </w:pPr>
          </w:p>
        </w:tc>
        <w:tc>
          <w:tcPr>
            <w:tcW w:w="8680" w:type="dxa"/>
          </w:tcPr>
          <w:p w14:paraId="14453E8A" w14:textId="77777777" w:rsidR="003E4858" w:rsidRPr="00394B05" w:rsidRDefault="003E4858" w:rsidP="005851DB">
            <w:pPr>
              <w:spacing w:after="0"/>
              <w:rPr>
                <w:rFonts w:cs="Arial"/>
                <w:i/>
                <w:color w:val="000000"/>
              </w:rPr>
            </w:pPr>
            <w:r w:rsidRPr="00394B05">
              <w:rPr>
                <w:rFonts w:cs="Arial"/>
                <w:i/>
                <w:color w:val="000000"/>
              </w:rPr>
              <w:t>Massgebliches Einkommen</w:t>
            </w:r>
          </w:p>
        </w:tc>
      </w:tr>
      <w:tr w:rsidR="003E4858" w14:paraId="01746AA6" w14:textId="77777777" w:rsidTr="005851DB">
        <w:tc>
          <w:tcPr>
            <w:tcW w:w="392" w:type="dxa"/>
          </w:tcPr>
          <w:p w14:paraId="39D8EEC9" w14:textId="77777777" w:rsidR="003E4858" w:rsidRDefault="003E4858" w:rsidP="005851DB">
            <w:pPr>
              <w:spacing w:after="0"/>
              <w:rPr>
                <w:rFonts w:cs="Arial"/>
                <w:color w:val="000000"/>
              </w:rPr>
            </w:pPr>
            <w:r>
              <w:rPr>
                <w:rFonts w:cs="Arial"/>
                <w:color w:val="000000"/>
              </w:rPr>
              <w:t>-</w:t>
            </w:r>
          </w:p>
        </w:tc>
        <w:tc>
          <w:tcPr>
            <w:tcW w:w="8820" w:type="dxa"/>
          </w:tcPr>
          <w:p w14:paraId="524D7AFF" w14:textId="77777777" w:rsidR="003E4858" w:rsidRPr="00394B05" w:rsidRDefault="003E4858" w:rsidP="005851DB">
            <w:pPr>
              <w:spacing w:after="0"/>
              <w:rPr>
                <w:rFonts w:cs="Arial"/>
                <w:i/>
                <w:color w:val="000000"/>
              </w:rPr>
            </w:pPr>
            <w:r w:rsidRPr="00394B05">
              <w:rPr>
                <w:rFonts w:cs="Arial"/>
                <w:i/>
                <w:color w:val="000000"/>
              </w:rPr>
              <w:t>100 % SH-Grundbedarf</w:t>
            </w:r>
          </w:p>
        </w:tc>
      </w:tr>
      <w:tr w:rsidR="003E4858" w14:paraId="146EA98D" w14:textId="77777777" w:rsidTr="005851DB">
        <w:tc>
          <w:tcPr>
            <w:tcW w:w="392" w:type="dxa"/>
          </w:tcPr>
          <w:p w14:paraId="6A2C05E5" w14:textId="77777777" w:rsidR="003E4858" w:rsidRDefault="003E4858" w:rsidP="005851DB">
            <w:pPr>
              <w:spacing w:after="0"/>
              <w:rPr>
                <w:rFonts w:cs="Arial"/>
                <w:color w:val="000000"/>
              </w:rPr>
            </w:pPr>
            <w:r>
              <w:rPr>
                <w:rFonts w:cs="Arial"/>
                <w:color w:val="000000"/>
              </w:rPr>
              <w:t>-</w:t>
            </w:r>
          </w:p>
        </w:tc>
        <w:tc>
          <w:tcPr>
            <w:tcW w:w="8820" w:type="dxa"/>
          </w:tcPr>
          <w:p w14:paraId="35EB06BF" w14:textId="77777777" w:rsidR="003E4858" w:rsidRPr="00394B05" w:rsidRDefault="003E4858" w:rsidP="005851DB">
            <w:pPr>
              <w:spacing w:after="0"/>
              <w:rPr>
                <w:rFonts w:cs="Arial"/>
                <w:i/>
                <w:color w:val="000000"/>
              </w:rPr>
            </w:pPr>
            <w:r w:rsidRPr="00394B05">
              <w:rPr>
                <w:rFonts w:cs="Arial"/>
                <w:i/>
                <w:color w:val="000000"/>
              </w:rPr>
              <w:t>effektive Prämien der obligatorischen Krankenpflegeversicherung bis maximal die regionalen Durchschnittsprämien</w:t>
            </w:r>
          </w:p>
        </w:tc>
      </w:tr>
      <w:tr w:rsidR="003E4858" w14:paraId="22078605" w14:textId="77777777" w:rsidTr="005851DB">
        <w:tc>
          <w:tcPr>
            <w:tcW w:w="392" w:type="dxa"/>
          </w:tcPr>
          <w:p w14:paraId="746B49BB" w14:textId="77777777" w:rsidR="003E4858" w:rsidRDefault="003E4858" w:rsidP="005851DB">
            <w:pPr>
              <w:spacing w:after="0"/>
              <w:rPr>
                <w:rFonts w:cs="Arial"/>
                <w:color w:val="000000"/>
              </w:rPr>
            </w:pPr>
            <w:r>
              <w:rPr>
                <w:rFonts w:cs="Arial"/>
                <w:color w:val="000000"/>
              </w:rPr>
              <w:t>-</w:t>
            </w:r>
          </w:p>
        </w:tc>
        <w:tc>
          <w:tcPr>
            <w:tcW w:w="8820" w:type="dxa"/>
          </w:tcPr>
          <w:p w14:paraId="52F87E06" w14:textId="7DFE8048" w:rsidR="003E4858" w:rsidRPr="00394B05" w:rsidRDefault="00B3724B" w:rsidP="005851DB">
            <w:pPr>
              <w:spacing w:after="0"/>
              <w:rPr>
                <w:rFonts w:cs="Arial"/>
                <w:i/>
                <w:color w:val="000000"/>
              </w:rPr>
            </w:pPr>
            <w:r w:rsidRPr="00394B05">
              <w:rPr>
                <w:rFonts w:cs="Arial"/>
                <w:i/>
                <w:color w:val="000000"/>
              </w:rPr>
              <w:t>E</w:t>
            </w:r>
            <w:r w:rsidR="003E4858" w:rsidRPr="00394B05">
              <w:rPr>
                <w:rFonts w:cs="Arial"/>
                <w:i/>
                <w:color w:val="000000"/>
              </w:rPr>
              <w:t>ffektive</w:t>
            </w:r>
            <w:r>
              <w:rPr>
                <w:rFonts w:cs="Arial"/>
                <w:i/>
                <w:color w:val="000000"/>
              </w:rPr>
              <w:t xml:space="preserve"> </w:t>
            </w:r>
            <w:r w:rsidRPr="00B3724B">
              <w:rPr>
                <w:rFonts w:cs="Arial"/>
                <w:i/>
                <w:color w:val="000000"/>
              </w:rPr>
              <w:t>d.h. selbstgetragene</w:t>
            </w:r>
            <w:r w:rsidR="003E4858" w:rsidRPr="00394B05">
              <w:rPr>
                <w:rFonts w:cs="Arial"/>
                <w:i/>
                <w:color w:val="000000"/>
              </w:rPr>
              <w:t xml:space="preserve"> Kosten für familienergänzende Kinderbetreuung</w:t>
            </w:r>
          </w:p>
        </w:tc>
      </w:tr>
      <w:tr w:rsidR="003E4858" w14:paraId="1325C1B3" w14:textId="77777777" w:rsidTr="005851DB">
        <w:tc>
          <w:tcPr>
            <w:tcW w:w="392" w:type="dxa"/>
          </w:tcPr>
          <w:p w14:paraId="15AD3F7E" w14:textId="77777777" w:rsidR="003E4858" w:rsidRDefault="003E4858" w:rsidP="005851DB">
            <w:pPr>
              <w:spacing w:after="0"/>
              <w:rPr>
                <w:rFonts w:cs="Arial"/>
                <w:color w:val="000000"/>
              </w:rPr>
            </w:pPr>
            <w:r>
              <w:rPr>
                <w:rFonts w:cs="Arial"/>
                <w:color w:val="000000"/>
              </w:rPr>
              <w:t>-</w:t>
            </w:r>
          </w:p>
        </w:tc>
        <w:tc>
          <w:tcPr>
            <w:tcW w:w="8820" w:type="dxa"/>
          </w:tcPr>
          <w:p w14:paraId="326977CD" w14:textId="77777777" w:rsidR="003E4858" w:rsidRPr="00394B05" w:rsidRDefault="003E4858" w:rsidP="005851DB">
            <w:pPr>
              <w:spacing w:after="0"/>
              <w:rPr>
                <w:rFonts w:cs="Arial"/>
                <w:i/>
                <w:color w:val="000000"/>
              </w:rPr>
            </w:pPr>
            <w:r w:rsidRPr="00394B05">
              <w:rPr>
                <w:rFonts w:cs="Arial"/>
                <w:i/>
                <w:color w:val="000000"/>
              </w:rPr>
              <w:t>AHV-Beiträge für nicht erwerbstätige Personen</w:t>
            </w:r>
          </w:p>
        </w:tc>
      </w:tr>
      <w:tr w:rsidR="003E4858" w14:paraId="380C2EBC" w14:textId="77777777" w:rsidTr="005851DB">
        <w:tc>
          <w:tcPr>
            <w:tcW w:w="392" w:type="dxa"/>
          </w:tcPr>
          <w:p w14:paraId="2A84BBC8" w14:textId="77777777" w:rsidR="003E4858" w:rsidRDefault="003E4858" w:rsidP="005851DB">
            <w:pPr>
              <w:spacing w:after="0"/>
              <w:rPr>
                <w:rFonts w:cs="Arial"/>
                <w:color w:val="000000"/>
              </w:rPr>
            </w:pPr>
            <w:r>
              <w:rPr>
                <w:rFonts w:cs="Arial"/>
                <w:color w:val="000000"/>
              </w:rPr>
              <w:t>-</w:t>
            </w:r>
          </w:p>
        </w:tc>
        <w:tc>
          <w:tcPr>
            <w:tcW w:w="8820" w:type="dxa"/>
          </w:tcPr>
          <w:p w14:paraId="4124B3A2" w14:textId="77777777" w:rsidR="003E4858" w:rsidRPr="00394B05" w:rsidRDefault="003E4858" w:rsidP="005851DB">
            <w:pPr>
              <w:spacing w:after="0"/>
              <w:rPr>
                <w:rFonts w:cs="Arial"/>
                <w:i/>
                <w:color w:val="000000"/>
              </w:rPr>
            </w:pPr>
            <w:r w:rsidRPr="00394B05">
              <w:rPr>
                <w:rFonts w:cs="Arial"/>
                <w:i/>
                <w:color w:val="000000"/>
              </w:rPr>
              <w:t>sonstige wiederkehrende Ausgaben</w:t>
            </w:r>
          </w:p>
        </w:tc>
      </w:tr>
      <w:tr w:rsidR="003E4858" w14:paraId="2654BD1E" w14:textId="77777777" w:rsidTr="00A724BA">
        <w:trPr>
          <w:trHeight w:val="83"/>
        </w:trPr>
        <w:tc>
          <w:tcPr>
            <w:tcW w:w="392" w:type="dxa"/>
          </w:tcPr>
          <w:p w14:paraId="4669B6D1" w14:textId="77777777" w:rsidR="003E4858" w:rsidRDefault="003E4858" w:rsidP="005851DB">
            <w:pPr>
              <w:spacing w:after="0"/>
              <w:rPr>
                <w:rFonts w:cs="Arial"/>
                <w:color w:val="000000"/>
              </w:rPr>
            </w:pPr>
            <w:r>
              <w:rPr>
                <w:rFonts w:cs="Arial"/>
                <w:color w:val="000000"/>
              </w:rPr>
              <w:t>=</w:t>
            </w:r>
          </w:p>
        </w:tc>
        <w:tc>
          <w:tcPr>
            <w:tcW w:w="8820" w:type="dxa"/>
          </w:tcPr>
          <w:p w14:paraId="60974591" w14:textId="77777777" w:rsidR="003E4858" w:rsidRPr="00394B05" w:rsidRDefault="003E4858" w:rsidP="005851DB">
            <w:pPr>
              <w:spacing w:after="0"/>
              <w:rPr>
                <w:rFonts w:cs="Arial"/>
                <w:i/>
                <w:color w:val="000000"/>
              </w:rPr>
            </w:pPr>
            <w:r w:rsidRPr="00394B05">
              <w:rPr>
                <w:rFonts w:cs="Arial"/>
                <w:i/>
                <w:color w:val="000000"/>
              </w:rPr>
              <w:t>Tragbares Mass der Mietzinsbelastung</w:t>
            </w:r>
          </w:p>
        </w:tc>
      </w:tr>
    </w:tbl>
    <w:p w14:paraId="1BE801E4" w14:textId="77777777" w:rsidR="003E4858" w:rsidRDefault="003E4858" w:rsidP="003E4858">
      <w:pPr>
        <w:rPr>
          <w:rFonts w:cs="Arial"/>
          <w:color w:val="000000"/>
        </w:rPr>
      </w:pPr>
    </w:p>
    <w:p w14:paraId="2E9D4113" w14:textId="77777777" w:rsidR="003E4858" w:rsidRDefault="003E4858" w:rsidP="003E4858">
      <w:pPr>
        <w:rPr>
          <w:rFonts w:cs="Arial"/>
          <w:color w:val="000000"/>
        </w:rPr>
      </w:pPr>
      <w:r w:rsidRPr="00BA076F">
        <w:rPr>
          <w:rFonts w:cs="Arial"/>
          <w:color w:val="000000"/>
          <w:u w:val="single"/>
        </w:rPr>
        <w:t>Mietzinsbeitrag</w:t>
      </w:r>
      <w:r>
        <w:rPr>
          <w:rFonts w:cs="Arial"/>
          <w:color w:val="000000"/>
        </w:rPr>
        <w:t xml:space="preserve">: </w:t>
      </w:r>
    </w:p>
    <w:p w14:paraId="61D6470C" w14:textId="77777777" w:rsidR="003E4858" w:rsidRDefault="003E4858" w:rsidP="003E4858">
      <w:pPr>
        <w:rPr>
          <w:rFonts w:cs="Arial"/>
          <w:color w:val="000000"/>
        </w:rPr>
      </w:pPr>
      <w:r>
        <w:rPr>
          <w:rFonts w:cs="Arial"/>
          <w:color w:val="000000"/>
        </w:rPr>
        <w:t>Der Mietzinsbeitrag dient zur Deckung der effektiven Jahresnettomiete, wenn eine Unterstützungseinheit diese nicht vollständig tragen kann. Der Mietzinsbeitrag ist die Differenz zwischen der effektiven Jahresnettomiete und dem tragbaren Mass der Mietzinsbelastung.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41"/>
      </w:tblGrid>
      <w:tr w:rsidR="003E4858" w:rsidRPr="00394B05" w14:paraId="50AEE2DD" w14:textId="77777777" w:rsidTr="005851DB">
        <w:tc>
          <w:tcPr>
            <w:tcW w:w="421" w:type="dxa"/>
          </w:tcPr>
          <w:p w14:paraId="74708CB2" w14:textId="77777777" w:rsidR="003E4858" w:rsidRPr="00394B05" w:rsidRDefault="003E4858" w:rsidP="005851DB">
            <w:pPr>
              <w:spacing w:after="0"/>
              <w:rPr>
                <w:rFonts w:cs="Arial"/>
                <w:i/>
                <w:color w:val="000000"/>
              </w:rPr>
            </w:pPr>
          </w:p>
        </w:tc>
        <w:tc>
          <w:tcPr>
            <w:tcW w:w="8641" w:type="dxa"/>
          </w:tcPr>
          <w:p w14:paraId="1CD273BD" w14:textId="77777777" w:rsidR="003E4858" w:rsidRPr="00394B05" w:rsidRDefault="003E4858" w:rsidP="005851DB">
            <w:pPr>
              <w:spacing w:after="0"/>
              <w:rPr>
                <w:rFonts w:cs="Arial"/>
                <w:i/>
                <w:color w:val="000000"/>
              </w:rPr>
            </w:pPr>
            <w:r w:rsidRPr="00394B05">
              <w:rPr>
                <w:rFonts w:cs="Arial"/>
                <w:i/>
                <w:color w:val="000000"/>
              </w:rPr>
              <w:t>Jahresnettomiete</w:t>
            </w:r>
          </w:p>
        </w:tc>
      </w:tr>
      <w:tr w:rsidR="003E4858" w:rsidRPr="00394B05" w14:paraId="6E267015" w14:textId="77777777" w:rsidTr="005851DB">
        <w:tc>
          <w:tcPr>
            <w:tcW w:w="421" w:type="dxa"/>
          </w:tcPr>
          <w:p w14:paraId="604223E1" w14:textId="77777777" w:rsidR="003E4858" w:rsidRPr="00394B05" w:rsidRDefault="003E4858" w:rsidP="005851DB">
            <w:pPr>
              <w:spacing w:after="0"/>
              <w:rPr>
                <w:rFonts w:cs="Arial"/>
                <w:i/>
                <w:color w:val="000000"/>
              </w:rPr>
            </w:pPr>
            <w:r w:rsidRPr="00394B05">
              <w:rPr>
                <w:rFonts w:cs="Arial"/>
                <w:i/>
                <w:color w:val="000000"/>
              </w:rPr>
              <w:t>-</w:t>
            </w:r>
          </w:p>
        </w:tc>
        <w:tc>
          <w:tcPr>
            <w:tcW w:w="8641" w:type="dxa"/>
          </w:tcPr>
          <w:p w14:paraId="646768A5" w14:textId="77777777" w:rsidR="003E4858" w:rsidRPr="00394B05" w:rsidRDefault="003E4858" w:rsidP="005851DB">
            <w:pPr>
              <w:spacing w:after="0"/>
              <w:rPr>
                <w:rFonts w:cs="Arial"/>
                <w:i/>
                <w:color w:val="000000"/>
              </w:rPr>
            </w:pPr>
            <w:r w:rsidRPr="00394B05">
              <w:rPr>
                <w:rFonts w:cs="Arial"/>
                <w:i/>
                <w:color w:val="000000"/>
              </w:rPr>
              <w:t>tragbares Mass der Mietzinsbelastung</w:t>
            </w:r>
          </w:p>
        </w:tc>
      </w:tr>
      <w:tr w:rsidR="003E4858" w:rsidRPr="00394B05" w14:paraId="78450D53" w14:textId="77777777" w:rsidTr="005851DB">
        <w:tc>
          <w:tcPr>
            <w:tcW w:w="421" w:type="dxa"/>
          </w:tcPr>
          <w:p w14:paraId="53A6D648" w14:textId="77777777" w:rsidR="003E4858" w:rsidRPr="00394B05" w:rsidRDefault="003E4858" w:rsidP="005851DB">
            <w:pPr>
              <w:spacing w:after="0"/>
              <w:rPr>
                <w:rFonts w:cs="Arial"/>
                <w:i/>
                <w:color w:val="000000"/>
              </w:rPr>
            </w:pPr>
            <w:r w:rsidRPr="00394B05">
              <w:rPr>
                <w:rFonts w:cs="Arial"/>
                <w:i/>
                <w:color w:val="000000"/>
              </w:rPr>
              <w:t>=</w:t>
            </w:r>
          </w:p>
        </w:tc>
        <w:tc>
          <w:tcPr>
            <w:tcW w:w="8641" w:type="dxa"/>
          </w:tcPr>
          <w:p w14:paraId="42775D5A" w14:textId="77777777" w:rsidR="003E4858" w:rsidRPr="00394B05" w:rsidRDefault="003E4858" w:rsidP="005851DB">
            <w:pPr>
              <w:spacing w:after="0"/>
              <w:rPr>
                <w:rFonts w:cs="Arial"/>
                <w:i/>
                <w:color w:val="000000"/>
              </w:rPr>
            </w:pPr>
            <w:r w:rsidRPr="00394B05">
              <w:rPr>
                <w:rFonts w:cs="Arial"/>
                <w:i/>
                <w:color w:val="000000"/>
              </w:rPr>
              <w:t>Mietzinsbeitrag</w:t>
            </w:r>
          </w:p>
        </w:tc>
      </w:tr>
    </w:tbl>
    <w:p w14:paraId="0C1D1BDF" w14:textId="77777777" w:rsidR="003E4858" w:rsidRDefault="003E4858" w:rsidP="003E4858">
      <w:pPr>
        <w:rPr>
          <w:shd w:val="clear" w:color="auto" w:fill="D9D9D9" w:themeFill="background1" w:themeFillShade="D9"/>
        </w:rPr>
      </w:pPr>
    </w:p>
    <w:p w14:paraId="4DF9216A" w14:textId="78D30DDE" w:rsidR="00CF5DD5" w:rsidRDefault="00CF5DD5" w:rsidP="003E4858">
      <w:pPr>
        <w:pStyle w:val="berschrift1"/>
        <w:numPr>
          <w:ilvl w:val="0"/>
          <w:numId w:val="0"/>
        </w:numPr>
      </w:pPr>
      <w:r>
        <w:br w:type="page"/>
      </w:r>
    </w:p>
    <w:p w14:paraId="7A69A6C7" w14:textId="7FF1A4A0" w:rsidR="00CF5DD5" w:rsidRDefault="00CF5DD5" w:rsidP="00CF5DD5">
      <w:pPr>
        <w:pStyle w:val="berschrift1"/>
        <w:numPr>
          <w:ilvl w:val="0"/>
          <w:numId w:val="0"/>
        </w:numPr>
        <w:ind w:left="567" w:hanging="567"/>
      </w:pPr>
      <w:bookmarkStart w:id="102" w:name="_Toc151475974"/>
      <w:r>
        <w:t>Anhang 2: Berechnungsbeispiele</w:t>
      </w:r>
      <w:bookmarkEnd w:id="102"/>
    </w:p>
    <w:p w14:paraId="14E20612" w14:textId="7F7667E8" w:rsidR="0076368D" w:rsidRDefault="0076368D" w:rsidP="0076368D">
      <w:pPr>
        <w:pStyle w:val="Traktandum"/>
        <w:ind w:left="0"/>
      </w:pPr>
      <w:r>
        <w:t>Für die Veranschaulichung des Vollzugs des Mietzinsbeitragsgesetzes dienen die beiden nachfolgenden Rechenbeispiele</w:t>
      </w:r>
      <w:r w:rsidR="00117D40">
        <w:t>. Die Berechnungsbeispiele basieren auf den Minimalansätzen gemäss Gesetz und Verordnung</w:t>
      </w:r>
      <w:r>
        <w:t>:</w:t>
      </w:r>
    </w:p>
    <w:p w14:paraId="3E0FA71F" w14:textId="77777777" w:rsidR="0076368D" w:rsidRPr="00914347" w:rsidRDefault="0076368D" w:rsidP="0076368D">
      <w:pPr>
        <w:pStyle w:val="Traktandum"/>
        <w:ind w:left="0"/>
        <w:rPr>
          <w:b/>
        </w:rPr>
      </w:pPr>
      <w:r w:rsidRPr="00914347">
        <w:rPr>
          <w:b/>
        </w:rPr>
        <w:t>Beispiel 1: Alleinerziehende Mutter mit einem Kind</w:t>
      </w:r>
    </w:p>
    <w:p w14:paraId="798B2E25" w14:textId="65ADEE98" w:rsidR="0076368D" w:rsidRDefault="0076368D" w:rsidP="0076368D">
      <w:pPr>
        <w:pStyle w:val="Traktandum"/>
        <w:numPr>
          <w:ilvl w:val="0"/>
          <w:numId w:val="27"/>
        </w:numPr>
        <w:ind w:left="714" w:hanging="357"/>
        <w:contextualSpacing/>
      </w:pPr>
      <w:r>
        <w:t>Die Mutter erzielt ein Jahresnettoeinkommen von CHF 4</w:t>
      </w:r>
      <w:r w:rsidR="00741093">
        <w:t>5</w:t>
      </w:r>
      <w:r>
        <w:t>'000.–.</w:t>
      </w:r>
    </w:p>
    <w:p w14:paraId="6B763222" w14:textId="77777777" w:rsidR="0076368D" w:rsidRDefault="0076368D" w:rsidP="0076368D">
      <w:pPr>
        <w:pStyle w:val="Traktandum"/>
        <w:numPr>
          <w:ilvl w:val="0"/>
          <w:numId w:val="27"/>
        </w:numPr>
        <w:ind w:left="714" w:hanging="357"/>
        <w:contextualSpacing/>
      </w:pPr>
      <w:r>
        <w:t>Die Jahresnettomiete beträgt CHF 13'800.– zuzüglich Nebenkosten von CHF 2'760.–, was einem Total von CHF 16'560.– entspricht.</w:t>
      </w:r>
    </w:p>
    <w:p w14:paraId="306E2363" w14:textId="45E61360" w:rsidR="0076368D" w:rsidRPr="003D71CF" w:rsidRDefault="0076368D" w:rsidP="0076368D">
      <w:pPr>
        <w:pStyle w:val="Traktandum"/>
        <w:numPr>
          <w:ilvl w:val="0"/>
          <w:numId w:val="27"/>
        </w:numPr>
        <w:ind w:left="714" w:hanging="357"/>
        <w:contextualSpacing/>
        <w:rPr>
          <w:szCs w:val="22"/>
        </w:rPr>
      </w:pPr>
      <w:r>
        <w:t>D</w:t>
      </w:r>
      <w:r w:rsidR="00085D16">
        <w:t xml:space="preserve">ie angemessene Jahresnettomiete </w:t>
      </w:r>
      <w:r>
        <w:t xml:space="preserve">entspricht </w:t>
      </w:r>
      <w:r w:rsidR="00DE2A5D">
        <w:t xml:space="preserve">jährlich </w:t>
      </w:r>
      <w:r w:rsidRPr="003D71CF">
        <w:rPr>
          <w:szCs w:val="22"/>
        </w:rPr>
        <w:t>CHF 14'400.</w:t>
      </w:r>
      <w:r>
        <w:rPr>
          <w:szCs w:val="22"/>
        </w:rPr>
        <w:t>–</w:t>
      </w:r>
      <w:r w:rsidRPr="003D71CF">
        <w:rPr>
          <w:szCs w:val="22"/>
        </w:rPr>
        <w:t xml:space="preserve"> </w:t>
      </w:r>
      <w:r w:rsidRPr="003D71CF">
        <w:rPr>
          <w:rFonts w:eastAsia="Times New Roman" w:cs="Arial"/>
          <w:color w:val="000000"/>
          <w:szCs w:val="22"/>
          <w:lang w:eastAsia="de-CH"/>
        </w:rPr>
        <w:t xml:space="preserve">zuzüglich 20 % der Nettomiete als Nebenkosten von CHF </w:t>
      </w:r>
      <w:r w:rsidR="00FD5415" w:rsidRPr="003D71CF">
        <w:rPr>
          <w:rFonts w:eastAsia="Times New Roman" w:cs="Arial"/>
          <w:color w:val="000000"/>
          <w:szCs w:val="22"/>
          <w:lang w:eastAsia="de-CH"/>
        </w:rPr>
        <w:t>2'8</w:t>
      </w:r>
      <w:r w:rsidR="00FD5415">
        <w:rPr>
          <w:rFonts w:eastAsia="Times New Roman" w:cs="Arial"/>
          <w:color w:val="000000"/>
          <w:szCs w:val="22"/>
          <w:lang w:eastAsia="de-CH"/>
        </w:rPr>
        <w:t>8</w:t>
      </w:r>
      <w:r w:rsidR="00FD5415" w:rsidRPr="003D71CF">
        <w:rPr>
          <w:rFonts w:eastAsia="Times New Roman" w:cs="Arial"/>
          <w:color w:val="000000"/>
          <w:szCs w:val="22"/>
          <w:lang w:eastAsia="de-CH"/>
        </w:rPr>
        <w:t>0</w:t>
      </w:r>
      <w:r w:rsidRPr="003D71CF">
        <w:rPr>
          <w:rFonts w:eastAsia="Times New Roman" w:cs="Arial"/>
          <w:color w:val="000000"/>
          <w:szCs w:val="22"/>
          <w:lang w:eastAsia="de-CH"/>
        </w:rPr>
        <w:t>.</w:t>
      </w:r>
      <w:r>
        <w:rPr>
          <w:rFonts w:eastAsia="Times New Roman" w:cs="Arial"/>
          <w:color w:val="000000"/>
          <w:szCs w:val="22"/>
          <w:lang w:eastAsia="de-CH"/>
        </w:rPr>
        <w:t>–</w:t>
      </w:r>
      <w:r w:rsidRPr="003D71CF">
        <w:rPr>
          <w:rFonts w:eastAsia="Times New Roman" w:cs="Arial"/>
          <w:color w:val="000000"/>
          <w:szCs w:val="22"/>
          <w:lang w:eastAsia="de-CH"/>
        </w:rPr>
        <w:t>, was einem Total von CHF 17'</w:t>
      </w:r>
      <w:r w:rsidR="00FD5415">
        <w:rPr>
          <w:rFonts w:eastAsia="Times New Roman" w:cs="Arial"/>
          <w:color w:val="000000"/>
          <w:szCs w:val="22"/>
          <w:lang w:eastAsia="de-CH"/>
        </w:rPr>
        <w:t>28</w:t>
      </w:r>
      <w:r w:rsidRPr="003D71CF">
        <w:rPr>
          <w:rFonts w:eastAsia="Times New Roman" w:cs="Arial"/>
          <w:color w:val="000000"/>
          <w:szCs w:val="22"/>
          <w:lang w:eastAsia="de-CH"/>
        </w:rPr>
        <w:t>0.</w:t>
      </w:r>
      <w:r>
        <w:rPr>
          <w:rFonts w:eastAsia="Times New Roman" w:cs="Arial"/>
          <w:color w:val="000000"/>
          <w:szCs w:val="22"/>
          <w:lang w:eastAsia="de-CH"/>
        </w:rPr>
        <w:t>–</w:t>
      </w:r>
      <w:r w:rsidRPr="003D71CF">
        <w:rPr>
          <w:rFonts w:eastAsia="Times New Roman" w:cs="Arial"/>
          <w:color w:val="000000"/>
          <w:szCs w:val="22"/>
          <w:lang w:eastAsia="de-CH"/>
        </w:rPr>
        <w:t xml:space="preserve"> entspricht.</w:t>
      </w:r>
      <w:r w:rsidR="00151324">
        <w:rPr>
          <w:rFonts w:eastAsia="Times New Roman" w:cs="Arial"/>
          <w:color w:val="000000"/>
          <w:szCs w:val="22"/>
          <w:lang w:eastAsia="de-CH"/>
        </w:rPr>
        <w:t xml:space="preserve"> Die Jahresnettomiete </w:t>
      </w:r>
      <w:r w:rsidR="00085D16" w:rsidRPr="008E488A">
        <w:t xml:space="preserve">zuzüglich der Nebenkosten </w:t>
      </w:r>
      <w:r w:rsidR="00151324">
        <w:rPr>
          <w:rFonts w:eastAsia="Times New Roman" w:cs="Arial"/>
          <w:color w:val="000000"/>
          <w:szCs w:val="22"/>
          <w:lang w:eastAsia="de-CH"/>
        </w:rPr>
        <w:t xml:space="preserve">liegt unter </w:t>
      </w:r>
      <w:r w:rsidR="00085D16">
        <w:rPr>
          <w:rFonts w:eastAsia="Times New Roman" w:cs="Arial"/>
          <w:color w:val="000000"/>
          <w:szCs w:val="22"/>
          <w:lang w:eastAsia="de-CH"/>
        </w:rPr>
        <w:t>der angemessenen Jahresnettomiete</w:t>
      </w:r>
      <w:r w:rsidR="00151324">
        <w:rPr>
          <w:rFonts w:eastAsia="Times New Roman" w:cs="Arial"/>
          <w:color w:val="000000"/>
          <w:szCs w:val="22"/>
          <w:lang w:eastAsia="de-CH"/>
        </w:rPr>
        <w:t>.</w:t>
      </w:r>
    </w:p>
    <w:p w14:paraId="0C504923" w14:textId="7153EB3E" w:rsidR="0076368D" w:rsidRDefault="0076368D" w:rsidP="0076368D">
      <w:pPr>
        <w:pStyle w:val="Traktandum"/>
        <w:numPr>
          <w:ilvl w:val="0"/>
          <w:numId w:val="27"/>
        </w:numPr>
        <w:ind w:left="714" w:hanging="357"/>
        <w:contextualSpacing/>
      </w:pPr>
      <w:r>
        <w:t xml:space="preserve">Das Kind geht in den Kindergarten und zwei Nachmittage pro Woche in die Kita. Die </w:t>
      </w:r>
      <w:r w:rsidR="00117D40">
        <w:t xml:space="preserve">effektiven </w:t>
      </w:r>
      <w:r>
        <w:t xml:space="preserve">Kosten für die Fremdbetreuung betragen </w:t>
      </w:r>
      <w:r w:rsidR="00117D40">
        <w:t xml:space="preserve">(nach Abzug von Beiträgen Dritter) </w:t>
      </w:r>
      <w:r>
        <w:t>jährlich CHF 4'000.–.</w:t>
      </w:r>
    </w:p>
    <w:p w14:paraId="7F1271B8" w14:textId="2C7996AB" w:rsidR="0076368D" w:rsidRPr="00037F83" w:rsidRDefault="0076368D" w:rsidP="0076368D">
      <w:pPr>
        <w:pStyle w:val="Traktandum"/>
        <w:numPr>
          <w:ilvl w:val="0"/>
          <w:numId w:val="27"/>
        </w:numPr>
        <w:ind w:left="714" w:hanging="357"/>
        <w:contextualSpacing/>
      </w:pPr>
      <w:r w:rsidRPr="00037F83">
        <w:t>Die Krankenkassenp</w:t>
      </w:r>
      <w:r w:rsidRPr="00037F83">
        <w:rPr>
          <w:rFonts w:eastAsia="Times New Roman" w:cs="Arial"/>
          <w:color w:val="000000"/>
          <w:szCs w:val="22"/>
          <w:lang w:eastAsia="de-CH"/>
        </w:rPr>
        <w:t xml:space="preserve">rämien entsprechen den regionalen Durchschnittsprämien (Region 1) und betragen für die Mutter und ihr Kind </w:t>
      </w:r>
      <w:r w:rsidR="00DE2A5D">
        <w:rPr>
          <w:rFonts w:eastAsia="Times New Roman" w:cs="Arial"/>
          <w:color w:val="000000"/>
          <w:szCs w:val="22"/>
          <w:lang w:eastAsia="de-CH"/>
        </w:rPr>
        <w:t xml:space="preserve">jährlich </w:t>
      </w:r>
      <w:r w:rsidRPr="00037F83">
        <w:rPr>
          <w:rFonts w:eastAsia="Times New Roman" w:cs="Arial"/>
          <w:color w:val="000000"/>
          <w:szCs w:val="22"/>
          <w:lang w:eastAsia="de-CH"/>
        </w:rPr>
        <w:t xml:space="preserve">CHF </w:t>
      </w:r>
      <w:r w:rsidR="00894F75" w:rsidRPr="00037F83">
        <w:rPr>
          <w:rFonts w:eastAsia="Times New Roman" w:cs="Arial"/>
          <w:color w:val="000000"/>
          <w:szCs w:val="22"/>
          <w:lang w:eastAsia="de-CH"/>
        </w:rPr>
        <w:t>8'628</w:t>
      </w:r>
      <w:r w:rsidRPr="00037F83">
        <w:rPr>
          <w:rFonts w:eastAsia="Times New Roman" w:cs="Arial"/>
          <w:color w:val="000000"/>
          <w:szCs w:val="22"/>
          <w:lang w:eastAsia="de-CH"/>
        </w:rPr>
        <w:t>.–</w:t>
      </w:r>
      <w:r w:rsidR="006E0C17" w:rsidRPr="00B3724B">
        <w:rPr>
          <w:rFonts w:eastAsia="Times New Roman" w:cs="Arial"/>
          <w:color w:val="000000"/>
          <w:szCs w:val="22"/>
          <w:lang w:eastAsia="de-CH"/>
        </w:rPr>
        <w:t xml:space="preserve"> (= CHF 6</w:t>
      </w:r>
      <w:r w:rsidR="00DE2A5D">
        <w:rPr>
          <w:rFonts w:eastAsia="Times New Roman" w:cs="Arial"/>
          <w:color w:val="000000"/>
          <w:szCs w:val="22"/>
          <w:lang w:eastAsia="de-CH"/>
        </w:rPr>
        <w:t>’</w:t>
      </w:r>
      <w:r w:rsidR="006E0C17" w:rsidRPr="00B3724B">
        <w:rPr>
          <w:rFonts w:eastAsia="Times New Roman" w:cs="Arial"/>
          <w:color w:val="000000"/>
          <w:szCs w:val="22"/>
          <w:lang w:eastAsia="de-CH"/>
        </w:rPr>
        <w:t>960.- + CHF 1</w:t>
      </w:r>
      <w:r w:rsidR="00DE2A5D">
        <w:rPr>
          <w:rFonts w:eastAsia="Times New Roman" w:cs="Arial"/>
          <w:color w:val="000000"/>
          <w:szCs w:val="22"/>
          <w:lang w:eastAsia="de-CH"/>
        </w:rPr>
        <w:t>’</w:t>
      </w:r>
      <w:r w:rsidR="006E0C17" w:rsidRPr="00B3724B">
        <w:rPr>
          <w:rFonts w:eastAsia="Times New Roman" w:cs="Arial"/>
          <w:color w:val="000000"/>
          <w:szCs w:val="22"/>
          <w:lang w:eastAsia="de-CH"/>
        </w:rPr>
        <w:t>668.-)</w:t>
      </w:r>
      <w:r w:rsidRPr="00037F83">
        <w:rPr>
          <w:rFonts w:eastAsia="Times New Roman" w:cs="Arial"/>
          <w:color w:val="000000"/>
          <w:szCs w:val="22"/>
          <w:lang w:eastAsia="de-CH"/>
        </w:rPr>
        <w:t>. Die Unterstützungseinheit erhält individuelle Prämienverbilligung in der Höhe von CHF</w:t>
      </w:r>
      <w:r w:rsidR="006E0C17" w:rsidRPr="00B3724B">
        <w:rPr>
          <w:rFonts w:eastAsia="Times New Roman" w:cs="Arial"/>
          <w:color w:val="000000"/>
          <w:szCs w:val="22"/>
          <w:lang w:eastAsia="de-CH"/>
        </w:rPr>
        <w:t xml:space="preserve"> 2’</w:t>
      </w:r>
      <w:r w:rsidR="00FD5F21">
        <w:rPr>
          <w:rFonts w:eastAsia="Times New Roman" w:cs="Arial"/>
          <w:color w:val="000000"/>
          <w:szCs w:val="22"/>
          <w:lang w:eastAsia="de-CH"/>
        </w:rPr>
        <w:t>651</w:t>
      </w:r>
      <w:r w:rsidRPr="00037F83">
        <w:rPr>
          <w:rFonts w:eastAsia="Times New Roman" w:cs="Arial"/>
          <w:color w:val="000000"/>
          <w:szCs w:val="22"/>
          <w:lang w:eastAsia="de-CH"/>
        </w:rPr>
        <w:t xml:space="preserve">.–, </w:t>
      </w:r>
      <w:r w:rsidRPr="00037F83">
        <w:t xml:space="preserve">was effektive Krankenkassenprämien von CHF </w:t>
      </w:r>
      <w:r w:rsidR="006E0C17" w:rsidRPr="00037F83">
        <w:t>5</w:t>
      </w:r>
      <w:r w:rsidR="006E0C17" w:rsidRPr="00910255">
        <w:t>’8</w:t>
      </w:r>
      <w:r w:rsidR="00FD5F21">
        <w:t>977</w:t>
      </w:r>
      <w:r w:rsidRPr="00492C79">
        <w:t>.– ergibt</w:t>
      </w:r>
      <w:r w:rsidRPr="00037F83">
        <w:rPr>
          <w:rStyle w:val="Funotenzeichen"/>
        </w:rPr>
        <w:footnoteReference w:id="1"/>
      </w:r>
      <w:r w:rsidRPr="00037F83">
        <w:t>.</w:t>
      </w:r>
    </w:p>
    <w:p w14:paraId="3A71DD88" w14:textId="77777777" w:rsidR="00037F83" w:rsidRDefault="0076368D" w:rsidP="0076368D">
      <w:pPr>
        <w:pStyle w:val="Traktandum"/>
        <w:numPr>
          <w:ilvl w:val="0"/>
          <w:numId w:val="27"/>
        </w:numPr>
        <w:ind w:left="714" w:hanging="357"/>
        <w:contextualSpacing/>
      </w:pPr>
      <w:r>
        <w:t>Das Vermögen der Unterstützungseinheit beträgt CHF 12'000.–.</w:t>
      </w:r>
    </w:p>
    <w:p w14:paraId="0B00BA90" w14:textId="0B8807D7" w:rsidR="002A3848" w:rsidRDefault="00037F83" w:rsidP="0076368D">
      <w:pPr>
        <w:pStyle w:val="Traktandum"/>
        <w:numPr>
          <w:ilvl w:val="0"/>
          <w:numId w:val="27"/>
        </w:numPr>
        <w:ind w:left="714" w:hanging="357"/>
        <w:contextualSpacing/>
      </w:pPr>
      <w:r>
        <w:t xml:space="preserve">Der </w:t>
      </w:r>
      <w:r w:rsidR="0064028D">
        <w:t xml:space="preserve">sozialhilferechtliche </w:t>
      </w:r>
      <w:r>
        <w:t>Grundbedarf gemäss Sozialhilfeverordnung (§</w:t>
      </w:r>
      <w:r w:rsidR="00DE2A5D">
        <w:t xml:space="preserve"> </w:t>
      </w:r>
      <w:r>
        <w:t>9</w:t>
      </w:r>
      <w:r w:rsidR="00115DFF">
        <w:t xml:space="preserve"> Abs. 1</w:t>
      </w:r>
      <w:r>
        <w:t xml:space="preserve"> SHV</w:t>
      </w:r>
      <w:r w:rsidR="00DE2A5D">
        <w:t>,</w:t>
      </w:r>
      <w:r>
        <w:t xml:space="preserve"> </w:t>
      </w:r>
      <w:hyperlink r:id="rId25" w:history="1">
        <w:r w:rsidRPr="00037F83">
          <w:rPr>
            <w:rStyle w:val="Hyperlink"/>
          </w:rPr>
          <w:t>SGS 850.11</w:t>
        </w:r>
      </w:hyperlink>
      <w:r>
        <w:t>) für die Mutter und ihr Kind beträgt CHF 18'924</w:t>
      </w:r>
      <w:r w:rsidR="00DE2A5D">
        <w:t>.-</w:t>
      </w:r>
      <w:r>
        <w:t xml:space="preserve"> (= CHF 1'577</w:t>
      </w:r>
      <w:r w:rsidR="00824963">
        <w:t>.-</w:t>
      </w:r>
      <w:r>
        <w:t xml:space="preserve"> * 12).</w:t>
      </w:r>
    </w:p>
    <w:p w14:paraId="01A18DEB" w14:textId="7CA16D23" w:rsidR="0076368D" w:rsidRDefault="002A3848" w:rsidP="0076368D">
      <w:pPr>
        <w:pStyle w:val="Traktandum"/>
        <w:numPr>
          <w:ilvl w:val="0"/>
          <w:numId w:val="27"/>
        </w:numPr>
        <w:ind w:left="714" w:hanging="357"/>
        <w:contextualSpacing/>
      </w:pPr>
      <w:r>
        <w:t>Die freien Vermögensbeträge gemäss Sozialhilfeverordnung (§</w:t>
      </w:r>
      <w:r w:rsidR="00824963">
        <w:t xml:space="preserve"> </w:t>
      </w:r>
      <w:r>
        <w:t>16 Abs. 2 SHV</w:t>
      </w:r>
      <w:r w:rsidR="00824963">
        <w:t>,</w:t>
      </w:r>
      <w:r>
        <w:t xml:space="preserve"> </w:t>
      </w:r>
      <w:hyperlink r:id="rId26" w:history="1">
        <w:r w:rsidRPr="00037F83">
          <w:rPr>
            <w:rStyle w:val="Hyperlink"/>
          </w:rPr>
          <w:t>SGS 850.11</w:t>
        </w:r>
      </w:hyperlink>
      <w:r>
        <w:t>) entsprechen für die Mutter und ihr Kind CHF 3'400.-.</w:t>
      </w:r>
    </w:p>
    <w:tbl>
      <w:tblPr>
        <w:tblW w:w="5000" w:type="pct"/>
        <w:tblLayout w:type="fixed"/>
        <w:tblCellMar>
          <w:left w:w="70" w:type="dxa"/>
          <w:right w:w="70" w:type="dxa"/>
        </w:tblCellMar>
        <w:tblLook w:val="04A0" w:firstRow="1" w:lastRow="0" w:firstColumn="1" w:lastColumn="0" w:noHBand="0" w:noVBand="1"/>
      </w:tblPr>
      <w:tblGrid>
        <w:gridCol w:w="303"/>
        <w:gridCol w:w="7976"/>
        <w:gridCol w:w="1352"/>
      </w:tblGrid>
      <w:tr w:rsidR="0076368D" w:rsidRPr="00000D69" w14:paraId="6526C196" w14:textId="77777777" w:rsidTr="005851DB">
        <w:trPr>
          <w:trHeight w:val="280"/>
        </w:trPr>
        <w:tc>
          <w:tcPr>
            <w:tcW w:w="4298" w:type="pct"/>
            <w:gridSpan w:val="2"/>
            <w:tcBorders>
              <w:top w:val="nil"/>
              <w:left w:val="nil"/>
              <w:bottom w:val="single" w:sz="12" w:space="0" w:color="auto"/>
              <w:right w:val="single" w:sz="12" w:space="0" w:color="auto"/>
            </w:tcBorders>
            <w:shd w:val="clear" w:color="auto" w:fill="auto"/>
            <w:noWrap/>
            <w:vAlign w:val="bottom"/>
            <w:hideMark/>
          </w:tcPr>
          <w:p w14:paraId="2DCE1D68" w14:textId="77777777" w:rsidR="0076368D" w:rsidRDefault="0076368D" w:rsidP="005851DB">
            <w:pPr>
              <w:tabs>
                <w:tab w:val="clear" w:pos="5103"/>
              </w:tabs>
              <w:spacing w:after="0"/>
              <w:rPr>
                <w:rFonts w:eastAsia="Times New Roman" w:cs="Arial"/>
                <w:b/>
                <w:color w:val="000000"/>
                <w:sz w:val="20"/>
                <w:szCs w:val="20"/>
                <w:lang w:eastAsia="de-CH"/>
              </w:rPr>
            </w:pPr>
          </w:p>
          <w:p w14:paraId="574AD8A0" w14:textId="77777777" w:rsidR="0076368D" w:rsidRPr="00D86F14" w:rsidRDefault="0076368D" w:rsidP="005851DB">
            <w:pPr>
              <w:tabs>
                <w:tab w:val="clear" w:pos="5103"/>
              </w:tabs>
              <w:spacing w:after="0"/>
              <w:rPr>
                <w:rFonts w:eastAsia="Times New Roman" w:cs="Arial"/>
                <w:color w:val="000000"/>
                <w:sz w:val="20"/>
                <w:szCs w:val="20"/>
                <w:lang w:eastAsia="de-CH"/>
              </w:rPr>
            </w:pPr>
            <w:r>
              <w:rPr>
                <w:rFonts w:eastAsia="Times New Roman" w:cs="Arial"/>
                <w:b/>
                <w:color w:val="000000"/>
                <w:sz w:val="20"/>
                <w:szCs w:val="20"/>
                <w:lang w:eastAsia="de-CH"/>
              </w:rPr>
              <w:t>Einkommensgrenze</w:t>
            </w:r>
            <w:r w:rsidRPr="00D86F14">
              <w:rPr>
                <w:rFonts w:eastAsia="Times New Roman" w:cs="Arial"/>
                <w:color w:val="000000"/>
                <w:sz w:val="20"/>
                <w:szCs w:val="20"/>
                <w:lang w:eastAsia="de-CH"/>
              </w:rPr>
              <w:t xml:space="preserve">: </w:t>
            </w:r>
          </w:p>
        </w:tc>
        <w:tc>
          <w:tcPr>
            <w:tcW w:w="702" w:type="pct"/>
            <w:tcBorders>
              <w:top w:val="nil"/>
              <w:left w:val="single" w:sz="12" w:space="0" w:color="auto"/>
              <w:bottom w:val="single" w:sz="12" w:space="0" w:color="auto"/>
              <w:right w:val="nil"/>
            </w:tcBorders>
            <w:shd w:val="clear" w:color="auto" w:fill="auto"/>
            <w:vAlign w:val="bottom"/>
            <w:hideMark/>
          </w:tcPr>
          <w:p w14:paraId="6D656028" w14:textId="77777777" w:rsidR="0076368D" w:rsidRPr="00D86F14" w:rsidRDefault="0076368D" w:rsidP="005851DB">
            <w:pPr>
              <w:tabs>
                <w:tab w:val="clear" w:pos="5103"/>
              </w:tabs>
              <w:spacing w:after="0"/>
              <w:rPr>
                <w:rFonts w:eastAsia="Times New Roman" w:cs="Arial"/>
                <w:color w:val="000000"/>
                <w:sz w:val="20"/>
                <w:szCs w:val="20"/>
                <w:u w:val="single"/>
                <w:lang w:eastAsia="de-CH"/>
              </w:rPr>
            </w:pPr>
          </w:p>
        </w:tc>
      </w:tr>
      <w:tr w:rsidR="0076368D" w:rsidRPr="00000D69" w14:paraId="225F280D" w14:textId="77777777" w:rsidTr="005851DB">
        <w:trPr>
          <w:trHeight w:val="280"/>
        </w:trPr>
        <w:tc>
          <w:tcPr>
            <w:tcW w:w="157" w:type="pct"/>
            <w:tcBorders>
              <w:top w:val="single" w:sz="12" w:space="0" w:color="auto"/>
              <w:left w:val="nil"/>
              <w:bottom w:val="nil"/>
              <w:right w:val="nil"/>
            </w:tcBorders>
            <w:shd w:val="clear" w:color="auto" w:fill="auto"/>
            <w:noWrap/>
            <w:vAlign w:val="bottom"/>
            <w:hideMark/>
          </w:tcPr>
          <w:p w14:paraId="1ADD766E" w14:textId="77777777" w:rsidR="0076368D" w:rsidRPr="00D86F14" w:rsidRDefault="0076368D" w:rsidP="005851DB">
            <w:pPr>
              <w:tabs>
                <w:tab w:val="clear" w:pos="5103"/>
              </w:tabs>
              <w:spacing w:after="0"/>
              <w:rPr>
                <w:rFonts w:eastAsia="Times New Roman" w:cs="Arial"/>
                <w:color w:val="000000"/>
                <w:sz w:val="20"/>
                <w:szCs w:val="20"/>
                <w:u w:val="single"/>
                <w:lang w:eastAsia="de-CH"/>
              </w:rPr>
            </w:pPr>
          </w:p>
        </w:tc>
        <w:tc>
          <w:tcPr>
            <w:tcW w:w="4141" w:type="pct"/>
            <w:tcBorders>
              <w:top w:val="single" w:sz="12" w:space="0" w:color="auto"/>
              <w:left w:val="nil"/>
              <w:bottom w:val="nil"/>
              <w:right w:val="single" w:sz="12" w:space="0" w:color="auto"/>
            </w:tcBorders>
            <w:shd w:val="clear" w:color="auto" w:fill="auto"/>
            <w:noWrap/>
            <w:vAlign w:val="bottom"/>
            <w:hideMark/>
          </w:tcPr>
          <w:p w14:paraId="3D1512C2" w14:textId="77777777" w:rsidR="0076368D" w:rsidRPr="00D86F14" w:rsidRDefault="0076368D" w:rsidP="005851DB">
            <w:pPr>
              <w:tabs>
                <w:tab w:val="clear" w:pos="5103"/>
              </w:tabs>
              <w:spacing w:after="0"/>
              <w:rPr>
                <w:rFonts w:eastAsia="Times New Roman" w:cs="Arial"/>
                <w:color w:val="000000"/>
                <w:sz w:val="20"/>
                <w:szCs w:val="20"/>
                <w:lang w:eastAsia="de-CH"/>
              </w:rPr>
            </w:pPr>
            <w:r w:rsidRPr="00D86F14">
              <w:rPr>
                <w:rFonts w:eastAsia="Times New Roman" w:cs="Arial"/>
                <w:color w:val="000000"/>
                <w:sz w:val="20"/>
                <w:szCs w:val="20"/>
                <w:lang w:eastAsia="de-CH"/>
              </w:rPr>
              <w:t>130 % SH-Grundbedarf</w:t>
            </w:r>
          </w:p>
        </w:tc>
        <w:tc>
          <w:tcPr>
            <w:tcW w:w="702" w:type="pct"/>
            <w:tcBorders>
              <w:top w:val="single" w:sz="12" w:space="0" w:color="auto"/>
              <w:left w:val="single" w:sz="12" w:space="0" w:color="auto"/>
              <w:bottom w:val="nil"/>
              <w:right w:val="nil"/>
            </w:tcBorders>
            <w:shd w:val="clear" w:color="auto" w:fill="auto"/>
            <w:noWrap/>
            <w:vAlign w:val="bottom"/>
            <w:hideMark/>
          </w:tcPr>
          <w:p w14:paraId="6C7D6A2D" w14:textId="6FCD0DAF" w:rsidR="0076368D" w:rsidRPr="00D86F14" w:rsidRDefault="0076368D" w:rsidP="00A54E6E">
            <w:pPr>
              <w:tabs>
                <w:tab w:val="clear" w:pos="5103"/>
              </w:tabs>
              <w:spacing w:after="0"/>
              <w:jc w:val="right"/>
              <w:rPr>
                <w:rFonts w:eastAsia="Times New Roman" w:cs="Arial"/>
                <w:color w:val="000000"/>
                <w:sz w:val="20"/>
                <w:szCs w:val="20"/>
                <w:lang w:eastAsia="de-CH"/>
              </w:rPr>
            </w:pPr>
            <w:r w:rsidRPr="00D86F14">
              <w:rPr>
                <w:rFonts w:eastAsia="Times New Roman" w:cs="Arial"/>
                <w:color w:val="000000"/>
                <w:sz w:val="20"/>
                <w:szCs w:val="20"/>
                <w:lang w:eastAsia="de-CH"/>
              </w:rPr>
              <w:t>2</w:t>
            </w:r>
            <w:r w:rsidR="00A54E6E">
              <w:rPr>
                <w:rFonts w:eastAsia="Times New Roman" w:cs="Arial"/>
                <w:color w:val="000000"/>
                <w:sz w:val="20"/>
                <w:szCs w:val="20"/>
                <w:lang w:eastAsia="de-CH"/>
              </w:rPr>
              <w:t>4</w:t>
            </w:r>
            <w:r w:rsidRPr="00D86F14">
              <w:rPr>
                <w:rFonts w:eastAsia="Times New Roman" w:cs="Arial"/>
                <w:color w:val="000000"/>
                <w:sz w:val="20"/>
                <w:szCs w:val="20"/>
                <w:lang w:eastAsia="de-CH"/>
              </w:rPr>
              <w:t>'</w:t>
            </w:r>
            <w:r w:rsidR="00A54E6E">
              <w:rPr>
                <w:rFonts w:eastAsia="Times New Roman" w:cs="Arial"/>
                <w:color w:val="000000"/>
                <w:sz w:val="20"/>
                <w:szCs w:val="20"/>
                <w:lang w:eastAsia="de-CH"/>
              </w:rPr>
              <w:t>601</w:t>
            </w:r>
            <w:r w:rsidRPr="00000D69">
              <w:rPr>
                <w:rFonts w:eastAsia="Times New Roman" w:cs="Arial"/>
                <w:color w:val="000000"/>
                <w:sz w:val="20"/>
                <w:szCs w:val="20"/>
                <w:lang w:eastAsia="de-CH"/>
              </w:rPr>
              <w:t>.</w:t>
            </w:r>
            <w:r>
              <w:rPr>
                <w:rFonts w:eastAsia="Times New Roman" w:cs="Arial"/>
                <w:color w:val="000000"/>
                <w:sz w:val="20"/>
                <w:szCs w:val="20"/>
                <w:lang w:eastAsia="de-CH"/>
              </w:rPr>
              <w:t>–</w:t>
            </w:r>
          </w:p>
        </w:tc>
      </w:tr>
      <w:tr w:rsidR="0076368D" w:rsidRPr="00000D69" w14:paraId="1BBDA327" w14:textId="77777777" w:rsidTr="005851DB">
        <w:trPr>
          <w:trHeight w:val="255"/>
        </w:trPr>
        <w:tc>
          <w:tcPr>
            <w:tcW w:w="157" w:type="pct"/>
            <w:tcBorders>
              <w:top w:val="nil"/>
              <w:left w:val="nil"/>
              <w:bottom w:val="nil"/>
              <w:right w:val="nil"/>
            </w:tcBorders>
            <w:shd w:val="clear" w:color="auto" w:fill="auto"/>
            <w:noWrap/>
            <w:vAlign w:val="bottom"/>
            <w:hideMark/>
          </w:tcPr>
          <w:p w14:paraId="37903D2F" w14:textId="77777777" w:rsidR="0076368D" w:rsidRPr="00D86F14" w:rsidRDefault="0076368D" w:rsidP="005851DB">
            <w:pPr>
              <w:tabs>
                <w:tab w:val="clear" w:pos="5103"/>
              </w:tabs>
              <w:spacing w:after="0"/>
              <w:jc w:val="right"/>
              <w:rPr>
                <w:rFonts w:eastAsia="Times New Roman" w:cs="Arial"/>
                <w:color w:val="000000"/>
                <w:sz w:val="20"/>
                <w:szCs w:val="20"/>
                <w:lang w:eastAsia="de-CH"/>
              </w:rPr>
            </w:pPr>
            <w:r w:rsidRPr="00D86F14">
              <w:rPr>
                <w:rFonts w:eastAsia="Times New Roman" w:cs="Arial"/>
                <w:color w:val="000000"/>
                <w:sz w:val="20"/>
                <w:szCs w:val="20"/>
                <w:lang w:eastAsia="de-CH"/>
              </w:rPr>
              <w:t>+</w:t>
            </w:r>
          </w:p>
        </w:tc>
        <w:tc>
          <w:tcPr>
            <w:tcW w:w="4141" w:type="pct"/>
            <w:vMerge w:val="restart"/>
            <w:tcBorders>
              <w:top w:val="nil"/>
              <w:left w:val="nil"/>
              <w:right w:val="single" w:sz="12" w:space="0" w:color="auto"/>
            </w:tcBorders>
            <w:shd w:val="clear" w:color="auto" w:fill="auto"/>
            <w:vAlign w:val="bottom"/>
            <w:hideMark/>
          </w:tcPr>
          <w:p w14:paraId="33881256" w14:textId="77777777" w:rsidR="0076368D" w:rsidRPr="00D86F14" w:rsidRDefault="0076368D" w:rsidP="005851DB">
            <w:pPr>
              <w:tabs>
                <w:tab w:val="clear" w:pos="5103"/>
              </w:tabs>
              <w:spacing w:after="0"/>
              <w:rPr>
                <w:rFonts w:eastAsia="Times New Roman" w:cs="Arial"/>
                <w:color w:val="000000"/>
                <w:sz w:val="20"/>
                <w:szCs w:val="20"/>
                <w:lang w:eastAsia="de-CH"/>
              </w:rPr>
            </w:pPr>
            <w:r w:rsidRPr="00D86F14">
              <w:rPr>
                <w:rFonts w:eastAsia="Times New Roman" w:cs="Arial"/>
                <w:color w:val="000000"/>
                <w:sz w:val="20"/>
                <w:szCs w:val="20"/>
                <w:lang w:eastAsia="de-CH"/>
              </w:rPr>
              <w:t>effektive Prämien der obligatorischen Krankenpfle</w:t>
            </w:r>
            <w:r w:rsidRPr="00000D69">
              <w:rPr>
                <w:rFonts w:eastAsia="Times New Roman" w:cs="Arial"/>
                <w:color w:val="000000"/>
                <w:sz w:val="20"/>
                <w:szCs w:val="20"/>
                <w:lang w:eastAsia="de-CH"/>
              </w:rPr>
              <w:t xml:space="preserve">geversicherung bis maximal die </w:t>
            </w:r>
            <w:r w:rsidRPr="00D86F14">
              <w:rPr>
                <w:rFonts w:eastAsia="Times New Roman" w:cs="Arial"/>
                <w:color w:val="000000"/>
                <w:sz w:val="20"/>
                <w:szCs w:val="20"/>
                <w:lang w:eastAsia="de-CH"/>
              </w:rPr>
              <w:t>regionalen Durchschnittsprämien</w:t>
            </w:r>
          </w:p>
        </w:tc>
        <w:tc>
          <w:tcPr>
            <w:tcW w:w="702" w:type="pct"/>
            <w:vMerge w:val="restart"/>
            <w:tcBorders>
              <w:top w:val="nil"/>
              <w:left w:val="single" w:sz="12" w:space="0" w:color="auto"/>
              <w:right w:val="nil"/>
            </w:tcBorders>
            <w:shd w:val="clear" w:color="auto" w:fill="auto"/>
            <w:noWrap/>
            <w:vAlign w:val="bottom"/>
            <w:hideMark/>
          </w:tcPr>
          <w:p w14:paraId="0634340E" w14:textId="363FF5C6" w:rsidR="0076368D" w:rsidRPr="00D86F14" w:rsidRDefault="00037F83" w:rsidP="00FD5F21">
            <w:pPr>
              <w:tabs>
                <w:tab w:val="clear" w:pos="5103"/>
              </w:tabs>
              <w:spacing w:after="0"/>
              <w:jc w:val="right"/>
              <w:rPr>
                <w:rFonts w:eastAsia="Times New Roman" w:cs="Arial"/>
                <w:color w:val="000000"/>
                <w:sz w:val="20"/>
                <w:szCs w:val="20"/>
                <w:lang w:eastAsia="de-CH"/>
              </w:rPr>
            </w:pPr>
            <w:r>
              <w:rPr>
                <w:rFonts w:eastAsia="Times New Roman" w:cs="Arial"/>
                <w:color w:val="000000"/>
                <w:sz w:val="20"/>
                <w:szCs w:val="20"/>
                <w:lang w:eastAsia="de-CH"/>
              </w:rPr>
              <w:t>5’</w:t>
            </w:r>
            <w:r w:rsidR="00FD5F21">
              <w:rPr>
                <w:rFonts w:eastAsia="Times New Roman" w:cs="Arial"/>
                <w:color w:val="000000"/>
                <w:sz w:val="20"/>
                <w:szCs w:val="20"/>
                <w:lang w:eastAsia="de-CH"/>
              </w:rPr>
              <w:t>977</w:t>
            </w:r>
            <w:r w:rsidR="0076368D" w:rsidRPr="00000D69">
              <w:rPr>
                <w:rFonts w:eastAsia="Times New Roman" w:cs="Arial"/>
                <w:color w:val="000000"/>
                <w:sz w:val="20"/>
                <w:szCs w:val="20"/>
                <w:lang w:eastAsia="de-CH"/>
              </w:rPr>
              <w:t>.</w:t>
            </w:r>
            <w:r w:rsidR="0076368D">
              <w:rPr>
                <w:rFonts w:eastAsia="Times New Roman" w:cs="Arial"/>
                <w:color w:val="000000"/>
                <w:sz w:val="20"/>
                <w:szCs w:val="20"/>
                <w:lang w:eastAsia="de-CH"/>
              </w:rPr>
              <w:t>–</w:t>
            </w:r>
          </w:p>
        </w:tc>
      </w:tr>
      <w:tr w:rsidR="0076368D" w:rsidRPr="00000D69" w14:paraId="4FC4CD36" w14:textId="77777777" w:rsidTr="005851DB">
        <w:trPr>
          <w:trHeight w:val="255"/>
        </w:trPr>
        <w:tc>
          <w:tcPr>
            <w:tcW w:w="157" w:type="pct"/>
            <w:tcBorders>
              <w:top w:val="nil"/>
              <w:left w:val="nil"/>
              <w:bottom w:val="nil"/>
              <w:right w:val="nil"/>
            </w:tcBorders>
            <w:shd w:val="clear" w:color="auto" w:fill="auto"/>
            <w:noWrap/>
            <w:vAlign w:val="bottom"/>
          </w:tcPr>
          <w:p w14:paraId="5528CD22" w14:textId="77777777" w:rsidR="0076368D" w:rsidRPr="00000D69" w:rsidRDefault="0076368D" w:rsidP="005851DB">
            <w:pPr>
              <w:tabs>
                <w:tab w:val="clear" w:pos="5103"/>
              </w:tabs>
              <w:spacing w:after="0"/>
              <w:jc w:val="right"/>
              <w:rPr>
                <w:rFonts w:eastAsia="Times New Roman" w:cs="Arial"/>
                <w:color w:val="000000"/>
                <w:sz w:val="20"/>
                <w:szCs w:val="20"/>
                <w:lang w:eastAsia="de-CH"/>
              </w:rPr>
            </w:pPr>
          </w:p>
        </w:tc>
        <w:tc>
          <w:tcPr>
            <w:tcW w:w="4141" w:type="pct"/>
            <w:vMerge/>
            <w:tcBorders>
              <w:left w:val="nil"/>
              <w:bottom w:val="nil"/>
              <w:right w:val="single" w:sz="12" w:space="0" w:color="auto"/>
            </w:tcBorders>
            <w:shd w:val="clear" w:color="auto" w:fill="auto"/>
            <w:vAlign w:val="bottom"/>
          </w:tcPr>
          <w:p w14:paraId="19527383" w14:textId="77777777" w:rsidR="0076368D" w:rsidRPr="00000D69" w:rsidRDefault="0076368D" w:rsidP="005851DB">
            <w:pPr>
              <w:tabs>
                <w:tab w:val="clear" w:pos="5103"/>
              </w:tabs>
              <w:spacing w:after="0"/>
              <w:rPr>
                <w:rFonts w:eastAsia="Times New Roman" w:cs="Arial"/>
                <w:color w:val="000000"/>
                <w:sz w:val="20"/>
                <w:szCs w:val="20"/>
                <w:lang w:eastAsia="de-CH"/>
              </w:rPr>
            </w:pPr>
          </w:p>
        </w:tc>
        <w:tc>
          <w:tcPr>
            <w:tcW w:w="702" w:type="pct"/>
            <w:vMerge/>
            <w:tcBorders>
              <w:left w:val="single" w:sz="12" w:space="0" w:color="auto"/>
              <w:bottom w:val="nil"/>
              <w:right w:val="nil"/>
            </w:tcBorders>
            <w:shd w:val="clear" w:color="auto" w:fill="auto"/>
            <w:noWrap/>
            <w:vAlign w:val="bottom"/>
          </w:tcPr>
          <w:p w14:paraId="0B261A1F" w14:textId="77777777" w:rsidR="0076368D" w:rsidRPr="00000D69" w:rsidRDefault="0076368D" w:rsidP="005851DB">
            <w:pPr>
              <w:tabs>
                <w:tab w:val="clear" w:pos="5103"/>
              </w:tabs>
              <w:spacing w:after="0"/>
              <w:jc w:val="right"/>
              <w:rPr>
                <w:rFonts w:eastAsia="Times New Roman" w:cs="Arial"/>
                <w:color w:val="000000"/>
                <w:sz w:val="20"/>
                <w:szCs w:val="20"/>
                <w:lang w:eastAsia="de-CH"/>
              </w:rPr>
            </w:pPr>
          </w:p>
        </w:tc>
      </w:tr>
      <w:tr w:rsidR="0076368D" w:rsidRPr="00000D69" w14:paraId="366BA140" w14:textId="77777777" w:rsidTr="005851DB">
        <w:trPr>
          <w:trHeight w:val="382"/>
        </w:trPr>
        <w:tc>
          <w:tcPr>
            <w:tcW w:w="157" w:type="pct"/>
            <w:tcBorders>
              <w:top w:val="nil"/>
              <w:left w:val="nil"/>
              <w:bottom w:val="nil"/>
              <w:right w:val="nil"/>
            </w:tcBorders>
            <w:shd w:val="clear" w:color="auto" w:fill="auto"/>
            <w:noWrap/>
            <w:vAlign w:val="bottom"/>
            <w:hideMark/>
          </w:tcPr>
          <w:p w14:paraId="4C016210" w14:textId="77777777" w:rsidR="0076368D" w:rsidRPr="00D86F14" w:rsidRDefault="0076368D" w:rsidP="005851DB">
            <w:pPr>
              <w:tabs>
                <w:tab w:val="clear" w:pos="5103"/>
              </w:tabs>
              <w:spacing w:after="0"/>
              <w:jc w:val="right"/>
              <w:rPr>
                <w:rFonts w:eastAsia="Times New Roman" w:cs="Arial"/>
                <w:color w:val="000000"/>
                <w:sz w:val="20"/>
                <w:szCs w:val="20"/>
                <w:lang w:eastAsia="de-CH"/>
              </w:rPr>
            </w:pPr>
            <w:r w:rsidRPr="00D86F14">
              <w:rPr>
                <w:rFonts w:eastAsia="Times New Roman" w:cs="Arial"/>
                <w:color w:val="000000"/>
                <w:sz w:val="20"/>
                <w:szCs w:val="20"/>
                <w:lang w:eastAsia="de-CH"/>
              </w:rPr>
              <w:t>+</w:t>
            </w:r>
          </w:p>
        </w:tc>
        <w:tc>
          <w:tcPr>
            <w:tcW w:w="4141" w:type="pct"/>
            <w:vMerge w:val="restart"/>
            <w:tcBorders>
              <w:top w:val="nil"/>
              <w:left w:val="nil"/>
              <w:right w:val="single" w:sz="12" w:space="0" w:color="auto"/>
            </w:tcBorders>
            <w:shd w:val="clear" w:color="auto" w:fill="auto"/>
            <w:noWrap/>
            <w:vAlign w:val="bottom"/>
            <w:hideMark/>
          </w:tcPr>
          <w:p w14:paraId="6C1BEAA8" w14:textId="77777777" w:rsidR="0076368D" w:rsidRPr="00D86F14" w:rsidRDefault="0076368D" w:rsidP="005851DB">
            <w:pPr>
              <w:tabs>
                <w:tab w:val="clear" w:pos="5103"/>
              </w:tabs>
              <w:spacing w:after="0"/>
              <w:rPr>
                <w:rFonts w:eastAsia="Times New Roman" w:cs="Arial"/>
                <w:color w:val="000000"/>
                <w:sz w:val="20"/>
                <w:szCs w:val="20"/>
                <w:lang w:eastAsia="de-CH"/>
              </w:rPr>
            </w:pPr>
            <w:r w:rsidRPr="0025385F">
              <w:rPr>
                <w:rFonts w:eastAsia="Times New Roman" w:cs="Arial"/>
                <w:color w:val="000000"/>
                <w:sz w:val="20"/>
                <w:szCs w:val="20"/>
                <w:lang w:eastAsia="de-CH"/>
              </w:rPr>
              <w:t xml:space="preserve">effektive Jahresnettomiete bis maximal die angemessene Jahresnettomiete, die mindestens dem durch die Gemeinde festgelegten Mietzinsgrenzwert </w:t>
            </w:r>
            <w:r>
              <w:rPr>
                <w:rFonts w:eastAsia="Times New Roman" w:cs="Arial"/>
                <w:color w:val="000000"/>
                <w:sz w:val="20"/>
                <w:szCs w:val="20"/>
                <w:lang w:eastAsia="de-CH"/>
              </w:rPr>
              <w:t xml:space="preserve">in der Sozialhilfe </w:t>
            </w:r>
            <w:r w:rsidRPr="0025385F">
              <w:rPr>
                <w:rFonts w:eastAsia="Times New Roman" w:cs="Arial"/>
                <w:color w:val="000000"/>
                <w:sz w:val="20"/>
                <w:szCs w:val="20"/>
                <w:lang w:eastAsia="de-CH"/>
              </w:rPr>
              <w:t>entspricht, zuzüglich 20 % der Nettomiete als Nebenkosten</w:t>
            </w:r>
          </w:p>
        </w:tc>
        <w:tc>
          <w:tcPr>
            <w:tcW w:w="702" w:type="pct"/>
            <w:vMerge w:val="restart"/>
            <w:tcBorders>
              <w:top w:val="nil"/>
              <w:left w:val="single" w:sz="12" w:space="0" w:color="auto"/>
              <w:right w:val="nil"/>
            </w:tcBorders>
            <w:shd w:val="clear" w:color="auto" w:fill="auto"/>
            <w:noWrap/>
            <w:vAlign w:val="bottom"/>
            <w:hideMark/>
          </w:tcPr>
          <w:p w14:paraId="06062FFD" w14:textId="77777777" w:rsidR="0076368D" w:rsidRPr="00D86F14" w:rsidRDefault="0076368D" w:rsidP="005851DB">
            <w:pPr>
              <w:tabs>
                <w:tab w:val="clear" w:pos="5103"/>
              </w:tabs>
              <w:spacing w:after="0"/>
              <w:jc w:val="right"/>
              <w:rPr>
                <w:rFonts w:eastAsia="Times New Roman" w:cs="Arial"/>
                <w:color w:val="000000"/>
                <w:sz w:val="20"/>
                <w:szCs w:val="20"/>
                <w:lang w:eastAsia="de-CH"/>
              </w:rPr>
            </w:pPr>
            <w:r>
              <w:rPr>
                <w:rFonts w:eastAsia="Times New Roman" w:cs="Arial"/>
                <w:color w:val="000000"/>
                <w:sz w:val="20"/>
                <w:szCs w:val="20"/>
                <w:lang w:eastAsia="de-CH"/>
              </w:rPr>
              <w:t>16’560</w:t>
            </w:r>
            <w:r w:rsidRPr="00000D69">
              <w:rPr>
                <w:rFonts w:eastAsia="Times New Roman" w:cs="Arial"/>
                <w:color w:val="000000"/>
                <w:sz w:val="20"/>
                <w:szCs w:val="20"/>
                <w:lang w:eastAsia="de-CH"/>
              </w:rPr>
              <w:t>.</w:t>
            </w:r>
            <w:r>
              <w:rPr>
                <w:rFonts w:eastAsia="Times New Roman" w:cs="Arial"/>
                <w:color w:val="000000"/>
                <w:sz w:val="20"/>
                <w:szCs w:val="20"/>
                <w:lang w:eastAsia="de-CH"/>
              </w:rPr>
              <w:t>–</w:t>
            </w:r>
          </w:p>
        </w:tc>
      </w:tr>
      <w:tr w:rsidR="0076368D" w:rsidRPr="00000D69" w14:paraId="2D2D33FD" w14:textId="77777777" w:rsidTr="005851DB">
        <w:trPr>
          <w:trHeight w:val="382"/>
        </w:trPr>
        <w:tc>
          <w:tcPr>
            <w:tcW w:w="157" w:type="pct"/>
            <w:tcBorders>
              <w:top w:val="nil"/>
              <w:left w:val="nil"/>
              <w:bottom w:val="nil"/>
              <w:right w:val="nil"/>
            </w:tcBorders>
            <w:shd w:val="clear" w:color="auto" w:fill="auto"/>
            <w:noWrap/>
            <w:vAlign w:val="bottom"/>
          </w:tcPr>
          <w:p w14:paraId="5A15F1C2" w14:textId="77777777" w:rsidR="0076368D" w:rsidRPr="00D86F14" w:rsidRDefault="0076368D" w:rsidP="005851DB">
            <w:pPr>
              <w:tabs>
                <w:tab w:val="clear" w:pos="5103"/>
              </w:tabs>
              <w:spacing w:after="0"/>
              <w:jc w:val="right"/>
              <w:rPr>
                <w:rFonts w:eastAsia="Times New Roman" w:cs="Arial"/>
                <w:color w:val="000000"/>
                <w:sz w:val="20"/>
                <w:szCs w:val="20"/>
                <w:lang w:eastAsia="de-CH"/>
              </w:rPr>
            </w:pPr>
          </w:p>
        </w:tc>
        <w:tc>
          <w:tcPr>
            <w:tcW w:w="4141" w:type="pct"/>
            <w:vMerge/>
            <w:tcBorders>
              <w:left w:val="nil"/>
              <w:bottom w:val="nil"/>
              <w:right w:val="single" w:sz="12" w:space="0" w:color="auto"/>
            </w:tcBorders>
            <w:shd w:val="clear" w:color="auto" w:fill="auto"/>
            <w:noWrap/>
            <w:vAlign w:val="bottom"/>
          </w:tcPr>
          <w:p w14:paraId="16E893B1" w14:textId="77777777" w:rsidR="0076368D" w:rsidRPr="0025385F" w:rsidRDefault="0076368D" w:rsidP="005851DB">
            <w:pPr>
              <w:tabs>
                <w:tab w:val="clear" w:pos="5103"/>
              </w:tabs>
              <w:spacing w:after="0"/>
              <w:rPr>
                <w:rFonts w:eastAsia="Times New Roman" w:cs="Arial"/>
                <w:color w:val="000000"/>
                <w:sz w:val="20"/>
                <w:szCs w:val="20"/>
                <w:lang w:eastAsia="de-CH"/>
              </w:rPr>
            </w:pPr>
          </w:p>
        </w:tc>
        <w:tc>
          <w:tcPr>
            <w:tcW w:w="702" w:type="pct"/>
            <w:vMerge/>
            <w:tcBorders>
              <w:left w:val="single" w:sz="12" w:space="0" w:color="auto"/>
              <w:bottom w:val="nil"/>
              <w:right w:val="nil"/>
            </w:tcBorders>
            <w:shd w:val="clear" w:color="auto" w:fill="auto"/>
            <w:noWrap/>
            <w:vAlign w:val="bottom"/>
          </w:tcPr>
          <w:p w14:paraId="7376BC92" w14:textId="77777777" w:rsidR="0076368D" w:rsidRDefault="0076368D" w:rsidP="005851DB">
            <w:pPr>
              <w:tabs>
                <w:tab w:val="clear" w:pos="5103"/>
              </w:tabs>
              <w:spacing w:after="0"/>
              <w:jc w:val="right"/>
              <w:rPr>
                <w:rFonts w:eastAsia="Times New Roman" w:cs="Arial"/>
                <w:color w:val="000000"/>
                <w:sz w:val="20"/>
                <w:szCs w:val="20"/>
                <w:lang w:eastAsia="de-CH"/>
              </w:rPr>
            </w:pPr>
          </w:p>
        </w:tc>
      </w:tr>
      <w:tr w:rsidR="0076368D" w:rsidRPr="00000D69" w14:paraId="1E0237BB" w14:textId="77777777" w:rsidTr="005851DB">
        <w:trPr>
          <w:trHeight w:val="280"/>
        </w:trPr>
        <w:tc>
          <w:tcPr>
            <w:tcW w:w="157" w:type="pct"/>
            <w:tcBorders>
              <w:top w:val="nil"/>
              <w:left w:val="nil"/>
              <w:bottom w:val="nil"/>
              <w:right w:val="nil"/>
            </w:tcBorders>
            <w:shd w:val="clear" w:color="auto" w:fill="auto"/>
            <w:noWrap/>
            <w:vAlign w:val="bottom"/>
            <w:hideMark/>
          </w:tcPr>
          <w:p w14:paraId="3A3029A2" w14:textId="77777777" w:rsidR="0076368D" w:rsidRPr="00D86F14" w:rsidRDefault="0076368D" w:rsidP="005851DB">
            <w:pPr>
              <w:tabs>
                <w:tab w:val="clear" w:pos="5103"/>
              </w:tabs>
              <w:spacing w:after="0"/>
              <w:jc w:val="right"/>
              <w:rPr>
                <w:rFonts w:eastAsia="Times New Roman" w:cs="Arial"/>
                <w:color w:val="000000"/>
                <w:sz w:val="20"/>
                <w:szCs w:val="20"/>
                <w:lang w:eastAsia="de-CH"/>
              </w:rPr>
            </w:pPr>
            <w:r w:rsidRPr="00D86F14">
              <w:rPr>
                <w:rFonts w:eastAsia="Times New Roman" w:cs="Arial"/>
                <w:color w:val="000000"/>
                <w:sz w:val="20"/>
                <w:szCs w:val="20"/>
                <w:lang w:eastAsia="de-CH"/>
              </w:rPr>
              <w:t>+</w:t>
            </w:r>
          </w:p>
        </w:tc>
        <w:tc>
          <w:tcPr>
            <w:tcW w:w="4141" w:type="pct"/>
            <w:tcBorders>
              <w:top w:val="nil"/>
              <w:left w:val="nil"/>
              <w:bottom w:val="single" w:sz="4" w:space="0" w:color="auto"/>
              <w:right w:val="single" w:sz="12" w:space="0" w:color="auto"/>
            </w:tcBorders>
            <w:shd w:val="clear" w:color="auto" w:fill="auto"/>
            <w:noWrap/>
            <w:vAlign w:val="bottom"/>
            <w:hideMark/>
          </w:tcPr>
          <w:p w14:paraId="64B9F295" w14:textId="77777777" w:rsidR="0076368D" w:rsidRPr="00D86F14" w:rsidRDefault="0076368D" w:rsidP="005851DB">
            <w:pPr>
              <w:tabs>
                <w:tab w:val="clear" w:pos="5103"/>
              </w:tabs>
              <w:spacing w:after="0"/>
              <w:rPr>
                <w:rFonts w:eastAsia="Times New Roman" w:cs="Arial"/>
                <w:color w:val="000000"/>
                <w:sz w:val="20"/>
                <w:szCs w:val="20"/>
                <w:lang w:eastAsia="de-CH"/>
              </w:rPr>
            </w:pPr>
            <w:r w:rsidRPr="00D86F14">
              <w:rPr>
                <w:rFonts w:eastAsia="Times New Roman" w:cs="Arial"/>
                <w:color w:val="000000"/>
                <w:sz w:val="20"/>
                <w:szCs w:val="20"/>
                <w:lang w:eastAsia="de-CH"/>
              </w:rPr>
              <w:t>effektive Kosten für familienergänzende Kinderbetreuung</w:t>
            </w:r>
          </w:p>
        </w:tc>
        <w:tc>
          <w:tcPr>
            <w:tcW w:w="702" w:type="pct"/>
            <w:tcBorders>
              <w:top w:val="nil"/>
              <w:left w:val="single" w:sz="12" w:space="0" w:color="auto"/>
              <w:bottom w:val="single" w:sz="4" w:space="0" w:color="auto"/>
              <w:right w:val="nil"/>
            </w:tcBorders>
            <w:shd w:val="clear" w:color="auto" w:fill="auto"/>
            <w:noWrap/>
            <w:vAlign w:val="bottom"/>
            <w:hideMark/>
          </w:tcPr>
          <w:p w14:paraId="4C9C29F3" w14:textId="77777777" w:rsidR="0076368D" w:rsidRPr="00D86F14" w:rsidRDefault="0076368D" w:rsidP="005851DB">
            <w:pPr>
              <w:tabs>
                <w:tab w:val="clear" w:pos="5103"/>
              </w:tabs>
              <w:spacing w:after="0"/>
              <w:jc w:val="right"/>
              <w:rPr>
                <w:rFonts w:eastAsia="Times New Roman" w:cs="Arial"/>
                <w:color w:val="000000"/>
                <w:sz w:val="20"/>
                <w:szCs w:val="20"/>
                <w:lang w:eastAsia="de-CH"/>
              </w:rPr>
            </w:pPr>
            <w:r w:rsidRPr="00D86F14">
              <w:rPr>
                <w:rFonts w:eastAsia="Times New Roman" w:cs="Arial"/>
                <w:color w:val="000000"/>
                <w:sz w:val="20"/>
                <w:szCs w:val="20"/>
                <w:lang w:eastAsia="de-CH"/>
              </w:rPr>
              <w:t>4</w:t>
            </w:r>
            <w:r w:rsidRPr="00000D69">
              <w:rPr>
                <w:rFonts w:eastAsia="Times New Roman" w:cs="Arial"/>
                <w:color w:val="000000"/>
                <w:sz w:val="20"/>
                <w:szCs w:val="20"/>
                <w:lang w:eastAsia="de-CH"/>
              </w:rPr>
              <w:t>’</w:t>
            </w:r>
            <w:r w:rsidRPr="00D86F14">
              <w:rPr>
                <w:rFonts w:eastAsia="Times New Roman" w:cs="Arial"/>
                <w:color w:val="000000"/>
                <w:sz w:val="20"/>
                <w:szCs w:val="20"/>
                <w:lang w:eastAsia="de-CH"/>
              </w:rPr>
              <w:t>000</w:t>
            </w:r>
            <w:r w:rsidRPr="00000D69">
              <w:rPr>
                <w:rFonts w:eastAsia="Times New Roman" w:cs="Arial"/>
                <w:color w:val="000000"/>
                <w:sz w:val="20"/>
                <w:szCs w:val="20"/>
                <w:lang w:eastAsia="de-CH"/>
              </w:rPr>
              <w:t>.</w:t>
            </w:r>
            <w:r>
              <w:rPr>
                <w:rFonts w:eastAsia="Times New Roman" w:cs="Arial"/>
                <w:color w:val="000000"/>
                <w:sz w:val="20"/>
                <w:szCs w:val="20"/>
                <w:lang w:eastAsia="de-CH"/>
              </w:rPr>
              <w:t>–</w:t>
            </w:r>
          </w:p>
        </w:tc>
      </w:tr>
      <w:tr w:rsidR="0076368D" w:rsidRPr="00000D69" w14:paraId="0DE6FF26" w14:textId="77777777" w:rsidTr="005851DB">
        <w:trPr>
          <w:trHeight w:val="280"/>
        </w:trPr>
        <w:tc>
          <w:tcPr>
            <w:tcW w:w="157" w:type="pct"/>
            <w:tcBorders>
              <w:top w:val="nil"/>
              <w:left w:val="nil"/>
              <w:bottom w:val="nil"/>
              <w:right w:val="nil"/>
            </w:tcBorders>
            <w:shd w:val="clear" w:color="auto" w:fill="auto"/>
            <w:noWrap/>
            <w:vAlign w:val="bottom"/>
            <w:hideMark/>
          </w:tcPr>
          <w:p w14:paraId="5620BC5A" w14:textId="77777777" w:rsidR="0076368D" w:rsidRPr="00D86F14" w:rsidRDefault="0076368D" w:rsidP="005851DB">
            <w:pPr>
              <w:tabs>
                <w:tab w:val="clear" w:pos="5103"/>
              </w:tabs>
              <w:spacing w:after="0"/>
              <w:jc w:val="right"/>
              <w:rPr>
                <w:rFonts w:eastAsia="Times New Roman" w:cs="Arial"/>
                <w:color w:val="000000"/>
                <w:sz w:val="20"/>
                <w:szCs w:val="20"/>
                <w:lang w:eastAsia="de-CH"/>
              </w:rPr>
            </w:pPr>
            <w:r w:rsidRPr="00D86F14">
              <w:rPr>
                <w:rFonts w:eastAsia="Times New Roman" w:cs="Arial"/>
                <w:color w:val="000000"/>
                <w:sz w:val="20"/>
                <w:szCs w:val="20"/>
                <w:lang w:eastAsia="de-CH"/>
              </w:rPr>
              <w:t>=</w:t>
            </w:r>
          </w:p>
        </w:tc>
        <w:tc>
          <w:tcPr>
            <w:tcW w:w="4141" w:type="pct"/>
            <w:tcBorders>
              <w:top w:val="nil"/>
              <w:left w:val="nil"/>
              <w:bottom w:val="nil"/>
              <w:right w:val="single" w:sz="12" w:space="0" w:color="auto"/>
            </w:tcBorders>
            <w:shd w:val="clear" w:color="auto" w:fill="auto"/>
            <w:noWrap/>
            <w:vAlign w:val="bottom"/>
            <w:hideMark/>
          </w:tcPr>
          <w:p w14:paraId="40E6A41C" w14:textId="77777777" w:rsidR="0076368D" w:rsidRPr="00D86F14" w:rsidRDefault="0076368D" w:rsidP="005851DB">
            <w:pPr>
              <w:tabs>
                <w:tab w:val="clear" w:pos="5103"/>
              </w:tabs>
              <w:spacing w:after="0"/>
              <w:rPr>
                <w:rFonts w:eastAsia="Times New Roman" w:cs="Arial"/>
                <w:color w:val="000000"/>
                <w:sz w:val="20"/>
                <w:szCs w:val="20"/>
                <w:lang w:eastAsia="de-CH"/>
              </w:rPr>
            </w:pPr>
            <w:r>
              <w:rPr>
                <w:rFonts w:eastAsia="Times New Roman" w:cs="Arial"/>
                <w:color w:val="000000"/>
                <w:sz w:val="20"/>
                <w:szCs w:val="20"/>
                <w:lang w:eastAsia="de-CH"/>
              </w:rPr>
              <w:t>Einkommensgrenze</w:t>
            </w:r>
          </w:p>
        </w:tc>
        <w:tc>
          <w:tcPr>
            <w:tcW w:w="702" w:type="pct"/>
            <w:tcBorders>
              <w:top w:val="nil"/>
              <w:left w:val="single" w:sz="12" w:space="0" w:color="auto"/>
              <w:bottom w:val="nil"/>
              <w:right w:val="nil"/>
            </w:tcBorders>
            <w:shd w:val="clear" w:color="auto" w:fill="auto"/>
            <w:noWrap/>
            <w:vAlign w:val="bottom"/>
            <w:hideMark/>
          </w:tcPr>
          <w:p w14:paraId="6B3290B9" w14:textId="531D68FB" w:rsidR="0076368D" w:rsidRPr="00970005" w:rsidRDefault="0076368D" w:rsidP="002D5C33">
            <w:pPr>
              <w:tabs>
                <w:tab w:val="clear" w:pos="5103"/>
              </w:tabs>
              <w:spacing w:after="0"/>
              <w:jc w:val="right"/>
              <w:rPr>
                <w:rFonts w:cs="Arial"/>
                <w:color w:val="000000"/>
                <w:szCs w:val="22"/>
              </w:rPr>
            </w:pPr>
            <w:r>
              <w:rPr>
                <w:rFonts w:cs="Arial"/>
                <w:color w:val="000000"/>
                <w:sz w:val="20"/>
                <w:szCs w:val="20"/>
              </w:rPr>
              <w:t>5</w:t>
            </w:r>
            <w:r w:rsidR="002A3848">
              <w:rPr>
                <w:rFonts w:cs="Arial"/>
                <w:color w:val="000000"/>
                <w:sz w:val="20"/>
                <w:szCs w:val="20"/>
              </w:rPr>
              <w:t>1</w:t>
            </w:r>
            <w:r>
              <w:rPr>
                <w:rFonts w:cs="Arial"/>
                <w:color w:val="000000"/>
                <w:sz w:val="20"/>
                <w:szCs w:val="20"/>
              </w:rPr>
              <w:t>'</w:t>
            </w:r>
            <w:r w:rsidR="002D5C33">
              <w:rPr>
                <w:rFonts w:cs="Arial"/>
                <w:color w:val="000000"/>
                <w:sz w:val="20"/>
                <w:szCs w:val="20"/>
              </w:rPr>
              <w:t>138</w:t>
            </w:r>
            <w:r w:rsidRPr="00000D69">
              <w:rPr>
                <w:rFonts w:eastAsia="Times New Roman" w:cs="Arial"/>
                <w:color w:val="000000"/>
                <w:sz w:val="20"/>
                <w:szCs w:val="20"/>
                <w:lang w:eastAsia="de-CH"/>
              </w:rPr>
              <w:t>.</w:t>
            </w:r>
            <w:r>
              <w:rPr>
                <w:rFonts w:eastAsia="Times New Roman" w:cs="Arial"/>
                <w:color w:val="000000"/>
                <w:sz w:val="20"/>
                <w:szCs w:val="20"/>
                <w:lang w:eastAsia="de-CH"/>
              </w:rPr>
              <w:t>–</w:t>
            </w:r>
          </w:p>
        </w:tc>
      </w:tr>
      <w:tr w:rsidR="0076368D" w:rsidRPr="00000D69" w14:paraId="22E75B04" w14:textId="77777777" w:rsidTr="005851DB">
        <w:trPr>
          <w:trHeight w:val="280"/>
        </w:trPr>
        <w:tc>
          <w:tcPr>
            <w:tcW w:w="157" w:type="pct"/>
            <w:tcBorders>
              <w:top w:val="nil"/>
              <w:left w:val="nil"/>
              <w:bottom w:val="nil"/>
              <w:right w:val="nil"/>
            </w:tcBorders>
            <w:shd w:val="clear" w:color="auto" w:fill="auto"/>
            <w:noWrap/>
            <w:vAlign w:val="bottom"/>
            <w:hideMark/>
          </w:tcPr>
          <w:p w14:paraId="71D704AE" w14:textId="77777777" w:rsidR="0076368D" w:rsidRPr="00D86F14" w:rsidRDefault="0076368D" w:rsidP="005851DB">
            <w:pPr>
              <w:tabs>
                <w:tab w:val="clear" w:pos="5103"/>
              </w:tabs>
              <w:spacing w:after="0"/>
              <w:jc w:val="right"/>
              <w:rPr>
                <w:rFonts w:eastAsia="Times New Roman" w:cs="Arial"/>
                <w:color w:val="000000"/>
                <w:sz w:val="20"/>
                <w:szCs w:val="20"/>
                <w:lang w:eastAsia="de-CH"/>
              </w:rPr>
            </w:pPr>
          </w:p>
        </w:tc>
        <w:tc>
          <w:tcPr>
            <w:tcW w:w="4141" w:type="pct"/>
            <w:tcBorders>
              <w:top w:val="nil"/>
              <w:left w:val="nil"/>
              <w:bottom w:val="nil"/>
              <w:right w:val="single" w:sz="12" w:space="0" w:color="auto"/>
            </w:tcBorders>
            <w:shd w:val="clear" w:color="auto" w:fill="auto"/>
            <w:noWrap/>
            <w:vAlign w:val="bottom"/>
            <w:hideMark/>
          </w:tcPr>
          <w:p w14:paraId="60DB8A09" w14:textId="77777777" w:rsidR="0076368D" w:rsidRPr="00D86F14" w:rsidRDefault="0076368D" w:rsidP="005851DB">
            <w:pPr>
              <w:tabs>
                <w:tab w:val="clear" w:pos="5103"/>
              </w:tabs>
              <w:spacing w:after="0"/>
              <w:rPr>
                <w:rFonts w:eastAsia="Times New Roman" w:cs="Arial"/>
                <w:sz w:val="20"/>
                <w:szCs w:val="20"/>
                <w:lang w:eastAsia="de-CH"/>
              </w:rPr>
            </w:pPr>
          </w:p>
        </w:tc>
        <w:tc>
          <w:tcPr>
            <w:tcW w:w="702" w:type="pct"/>
            <w:tcBorders>
              <w:top w:val="nil"/>
              <w:left w:val="single" w:sz="12" w:space="0" w:color="auto"/>
              <w:bottom w:val="nil"/>
              <w:right w:val="nil"/>
            </w:tcBorders>
            <w:shd w:val="clear" w:color="auto" w:fill="auto"/>
            <w:noWrap/>
            <w:vAlign w:val="bottom"/>
            <w:hideMark/>
          </w:tcPr>
          <w:p w14:paraId="614B5ACD" w14:textId="77777777" w:rsidR="0076368D" w:rsidRPr="00D86F14" w:rsidRDefault="0076368D" w:rsidP="005851DB">
            <w:pPr>
              <w:tabs>
                <w:tab w:val="clear" w:pos="5103"/>
              </w:tabs>
              <w:spacing w:after="0"/>
              <w:rPr>
                <w:rFonts w:eastAsia="Times New Roman" w:cs="Arial"/>
                <w:color w:val="000000"/>
                <w:sz w:val="20"/>
                <w:szCs w:val="20"/>
                <w:lang w:eastAsia="de-CH"/>
              </w:rPr>
            </w:pPr>
            <w:r w:rsidRPr="00D86F14">
              <w:rPr>
                <w:rFonts w:eastAsia="Times New Roman" w:cs="Arial"/>
                <w:color w:val="000000"/>
                <w:sz w:val="20"/>
                <w:szCs w:val="20"/>
                <w:lang w:eastAsia="de-CH"/>
              </w:rPr>
              <w:t> </w:t>
            </w:r>
          </w:p>
        </w:tc>
      </w:tr>
      <w:tr w:rsidR="0076368D" w:rsidRPr="00000D69" w14:paraId="2752FE9A" w14:textId="77777777" w:rsidTr="005851DB">
        <w:trPr>
          <w:trHeight w:val="280"/>
        </w:trPr>
        <w:tc>
          <w:tcPr>
            <w:tcW w:w="4298" w:type="pct"/>
            <w:gridSpan w:val="2"/>
            <w:tcBorders>
              <w:top w:val="nil"/>
              <w:left w:val="nil"/>
              <w:bottom w:val="single" w:sz="12" w:space="0" w:color="auto"/>
              <w:right w:val="single" w:sz="12" w:space="0" w:color="auto"/>
            </w:tcBorders>
            <w:shd w:val="clear" w:color="auto" w:fill="auto"/>
            <w:noWrap/>
            <w:vAlign w:val="bottom"/>
            <w:hideMark/>
          </w:tcPr>
          <w:p w14:paraId="209B7B8D" w14:textId="77777777" w:rsidR="0076368D" w:rsidRPr="00D81A14" w:rsidRDefault="0076368D" w:rsidP="005851DB">
            <w:pPr>
              <w:tabs>
                <w:tab w:val="clear" w:pos="5103"/>
              </w:tabs>
              <w:spacing w:after="0"/>
              <w:rPr>
                <w:rFonts w:eastAsia="Times New Roman" w:cs="Arial"/>
                <w:b/>
                <w:color w:val="000000"/>
                <w:sz w:val="20"/>
                <w:szCs w:val="20"/>
                <w:lang w:eastAsia="de-CH"/>
              </w:rPr>
            </w:pPr>
            <w:r>
              <w:rPr>
                <w:rFonts w:eastAsia="Times New Roman" w:cs="Arial"/>
                <w:b/>
                <w:color w:val="000000"/>
                <w:sz w:val="20"/>
                <w:szCs w:val="20"/>
                <w:lang w:eastAsia="de-CH"/>
              </w:rPr>
              <w:t>Vermögensgrenze</w:t>
            </w:r>
          </w:p>
        </w:tc>
        <w:tc>
          <w:tcPr>
            <w:tcW w:w="702" w:type="pct"/>
            <w:tcBorders>
              <w:top w:val="nil"/>
              <w:left w:val="single" w:sz="12" w:space="0" w:color="auto"/>
              <w:bottom w:val="single" w:sz="12" w:space="0" w:color="auto"/>
              <w:right w:val="nil"/>
            </w:tcBorders>
            <w:shd w:val="clear" w:color="auto" w:fill="auto"/>
            <w:noWrap/>
            <w:vAlign w:val="bottom"/>
            <w:hideMark/>
          </w:tcPr>
          <w:p w14:paraId="07DF9490" w14:textId="77777777" w:rsidR="0076368D" w:rsidRPr="00D86F14" w:rsidRDefault="0076368D" w:rsidP="005851DB">
            <w:pPr>
              <w:tabs>
                <w:tab w:val="clear" w:pos="5103"/>
              </w:tabs>
              <w:spacing w:after="0"/>
              <w:rPr>
                <w:rFonts w:eastAsia="Times New Roman" w:cs="Arial"/>
                <w:color w:val="000000"/>
                <w:sz w:val="20"/>
                <w:szCs w:val="20"/>
                <w:lang w:eastAsia="de-CH"/>
              </w:rPr>
            </w:pPr>
            <w:r w:rsidRPr="00D86F14">
              <w:rPr>
                <w:rFonts w:eastAsia="Times New Roman" w:cs="Arial"/>
                <w:color w:val="000000"/>
                <w:sz w:val="20"/>
                <w:szCs w:val="20"/>
                <w:lang w:eastAsia="de-CH"/>
              </w:rPr>
              <w:t> </w:t>
            </w:r>
          </w:p>
        </w:tc>
      </w:tr>
      <w:tr w:rsidR="0076368D" w:rsidRPr="00000D69" w14:paraId="648B23AB" w14:textId="77777777" w:rsidTr="005851DB">
        <w:trPr>
          <w:trHeight w:val="280"/>
        </w:trPr>
        <w:tc>
          <w:tcPr>
            <w:tcW w:w="157" w:type="pct"/>
            <w:tcBorders>
              <w:top w:val="single" w:sz="12" w:space="0" w:color="auto"/>
              <w:left w:val="nil"/>
              <w:bottom w:val="nil"/>
              <w:right w:val="nil"/>
            </w:tcBorders>
            <w:shd w:val="clear" w:color="auto" w:fill="auto"/>
            <w:noWrap/>
            <w:vAlign w:val="bottom"/>
            <w:hideMark/>
          </w:tcPr>
          <w:p w14:paraId="35FE2CD1" w14:textId="77777777" w:rsidR="0076368D" w:rsidRPr="00D86F14" w:rsidRDefault="0076368D" w:rsidP="005851DB">
            <w:pPr>
              <w:tabs>
                <w:tab w:val="clear" w:pos="5103"/>
              </w:tabs>
              <w:spacing w:after="0"/>
              <w:rPr>
                <w:rFonts w:eastAsia="Times New Roman" w:cs="Arial"/>
                <w:color w:val="000000"/>
                <w:sz w:val="20"/>
                <w:szCs w:val="20"/>
                <w:lang w:eastAsia="de-CH"/>
              </w:rPr>
            </w:pPr>
          </w:p>
        </w:tc>
        <w:tc>
          <w:tcPr>
            <w:tcW w:w="4141" w:type="pct"/>
            <w:tcBorders>
              <w:top w:val="single" w:sz="12" w:space="0" w:color="auto"/>
              <w:left w:val="nil"/>
              <w:bottom w:val="nil"/>
              <w:right w:val="single" w:sz="12" w:space="0" w:color="auto"/>
            </w:tcBorders>
            <w:shd w:val="clear" w:color="auto" w:fill="auto"/>
            <w:noWrap/>
            <w:vAlign w:val="bottom"/>
            <w:hideMark/>
          </w:tcPr>
          <w:p w14:paraId="730A23B7" w14:textId="77777777" w:rsidR="0076368D" w:rsidRPr="00D86F14" w:rsidRDefault="0076368D" w:rsidP="005851DB">
            <w:pPr>
              <w:tabs>
                <w:tab w:val="clear" w:pos="5103"/>
              </w:tabs>
              <w:spacing w:after="0"/>
              <w:rPr>
                <w:rFonts w:eastAsia="Times New Roman" w:cs="Arial"/>
                <w:color w:val="000000"/>
                <w:sz w:val="20"/>
                <w:szCs w:val="20"/>
                <w:lang w:eastAsia="de-CH"/>
              </w:rPr>
            </w:pPr>
            <w:r w:rsidRPr="00D86F14">
              <w:rPr>
                <w:rFonts w:eastAsia="Times New Roman" w:cs="Arial"/>
                <w:color w:val="000000"/>
                <w:sz w:val="20"/>
                <w:szCs w:val="20"/>
                <w:lang w:eastAsia="de-CH"/>
              </w:rPr>
              <w:t>entspricht dem fünffachen des Vermögensfreibetrags in der Sozialhilfe</w:t>
            </w:r>
          </w:p>
        </w:tc>
        <w:tc>
          <w:tcPr>
            <w:tcW w:w="702" w:type="pct"/>
            <w:tcBorders>
              <w:top w:val="single" w:sz="12" w:space="0" w:color="auto"/>
              <w:left w:val="single" w:sz="12" w:space="0" w:color="auto"/>
              <w:bottom w:val="nil"/>
              <w:right w:val="nil"/>
            </w:tcBorders>
            <w:shd w:val="clear" w:color="auto" w:fill="auto"/>
            <w:noWrap/>
            <w:vAlign w:val="bottom"/>
            <w:hideMark/>
          </w:tcPr>
          <w:p w14:paraId="670922DB" w14:textId="77777777" w:rsidR="0076368D" w:rsidRPr="00D86F14" w:rsidRDefault="0076368D" w:rsidP="005851DB">
            <w:pPr>
              <w:tabs>
                <w:tab w:val="clear" w:pos="5103"/>
              </w:tabs>
              <w:spacing w:after="0"/>
              <w:jc w:val="right"/>
              <w:rPr>
                <w:rFonts w:eastAsia="Times New Roman" w:cs="Arial"/>
                <w:color w:val="000000"/>
                <w:sz w:val="20"/>
                <w:szCs w:val="20"/>
                <w:lang w:eastAsia="de-CH"/>
              </w:rPr>
            </w:pPr>
            <w:r w:rsidRPr="00D86F14">
              <w:rPr>
                <w:rFonts w:eastAsia="Times New Roman" w:cs="Arial"/>
                <w:color w:val="000000"/>
                <w:sz w:val="20"/>
                <w:szCs w:val="20"/>
                <w:lang w:eastAsia="de-CH"/>
              </w:rPr>
              <w:t>17</w:t>
            </w:r>
            <w:r w:rsidRPr="00000D69">
              <w:rPr>
                <w:rFonts w:eastAsia="Times New Roman" w:cs="Arial"/>
                <w:color w:val="000000"/>
                <w:sz w:val="20"/>
                <w:szCs w:val="20"/>
                <w:lang w:eastAsia="de-CH"/>
              </w:rPr>
              <w:t>’</w:t>
            </w:r>
            <w:r w:rsidRPr="00D86F14">
              <w:rPr>
                <w:rFonts w:eastAsia="Times New Roman" w:cs="Arial"/>
                <w:color w:val="000000"/>
                <w:sz w:val="20"/>
                <w:szCs w:val="20"/>
                <w:lang w:eastAsia="de-CH"/>
              </w:rPr>
              <w:t>000</w:t>
            </w:r>
            <w:r w:rsidRPr="00000D69">
              <w:rPr>
                <w:rFonts w:eastAsia="Times New Roman" w:cs="Arial"/>
                <w:color w:val="000000"/>
                <w:sz w:val="20"/>
                <w:szCs w:val="20"/>
                <w:lang w:eastAsia="de-CH"/>
              </w:rPr>
              <w:t>.</w:t>
            </w:r>
            <w:r>
              <w:rPr>
                <w:rFonts w:eastAsia="Times New Roman" w:cs="Arial"/>
                <w:color w:val="000000"/>
                <w:sz w:val="20"/>
                <w:szCs w:val="20"/>
                <w:lang w:eastAsia="de-CH"/>
              </w:rPr>
              <w:t>–</w:t>
            </w:r>
          </w:p>
        </w:tc>
      </w:tr>
      <w:tr w:rsidR="0076368D" w:rsidRPr="00000D69" w14:paraId="0A93A20D" w14:textId="77777777" w:rsidTr="005851DB">
        <w:trPr>
          <w:trHeight w:val="280"/>
        </w:trPr>
        <w:tc>
          <w:tcPr>
            <w:tcW w:w="157" w:type="pct"/>
            <w:tcBorders>
              <w:top w:val="nil"/>
              <w:left w:val="nil"/>
              <w:bottom w:val="nil"/>
              <w:right w:val="nil"/>
            </w:tcBorders>
            <w:shd w:val="clear" w:color="auto" w:fill="auto"/>
            <w:noWrap/>
            <w:vAlign w:val="bottom"/>
            <w:hideMark/>
          </w:tcPr>
          <w:p w14:paraId="48E4377B" w14:textId="77777777" w:rsidR="0076368D" w:rsidRPr="00D86F14" w:rsidRDefault="0076368D" w:rsidP="005851DB">
            <w:pPr>
              <w:tabs>
                <w:tab w:val="clear" w:pos="5103"/>
              </w:tabs>
              <w:spacing w:after="0"/>
              <w:jc w:val="right"/>
              <w:rPr>
                <w:rFonts w:eastAsia="Times New Roman" w:cs="Arial"/>
                <w:color w:val="000000"/>
                <w:sz w:val="20"/>
                <w:szCs w:val="20"/>
                <w:lang w:eastAsia="de-CH"/>
              </w:rPr>
            </w:pPr>
          </w:p>
        </w:tc>
        <w:tc>
          <w:tcPr>
            <w:tcW w:w="4141" w:type="pct"/>
            <w:tcBorders>
              <w:top w:val="nil"/>
              <w:left w:val="nil"/>
              <w:bottom w:val="nil"/>
              <w:right w:val="single" w:sz="12" w:space="0" w:color="auto"/>
            </w:tcBorders>
            <w:shd w:val="clear" w:color="auto" w:fill="auto"/>
            <w:noWrap/>
            <w:vAlign w:val="bottom"/>
            <w:hideMark/>
          </w:tcPr>
          <w:p w14:paraId="763133C9" w14:textId="77777777" w:rsidR="0076368D" w:rsidRPr="00D86F14" w:rsidRDefault="0076368D" w:rsidP="005851DB">
            <w:pPr>
              <w:tabs>
                <w:tab w:val="clear" w:pos="5103"/>
              </w:tabs>
              <w:spacing w:after="0"/>
              <w:rPr>
                <w:rFonts w:eastAsia="Times New Roman" w:cs="Arial"/>
                <w:sz w:val="20"/>
                <w:szCs w:val="20"/>
                <w:lang w:eastAsia="de-CH"/>
              </w:rPr>
            </w:pPr>
          </w:p>
        </w:tc>
        <w:tc>
          <w:tcPr>
            <w:tcW w:w="702" w:type="pct"/>
            <w:tcBorders>
              <w:top w:val="nil"/>
              <w:left w:val="single" w:sz="12" w:space="0" w:color="auto"/>
              <w:bottom w:val="nil"/>
              <w:right w:val="nil"/>
            </w:tcBorders>
            <w:shd w:val="clear" w:color="auto" w:fill="auto"/>
            <w:noWrap/>
            <w:vAlign w:val="bottom"/>
            <w:hideMark/>
          </w:tcPr>
          <w:p w14:paraId="589C9882" w14:textId="77777777" w:rsidR="0076368D" w:rsidRPr="00D86F14" w:rsidRDefault="0076368D" w:rsidP="005851DB">
            <w:pPr>
              <w:tabs>
                <w:tab w:val="clear" w:pos="5103"/>
              </w:tabs>
              <w:spacing w:after="0"/>
              <w:rPr>
                <w:rFonts w:eastAsia="Times New Roman" w:cs="Arial"/>
                <w:color w:val="000000"/>
                <w:sz w:val="20"/>
                <w:szCs w:val="20"/>
                <w:lang w:eastAsia="de-CH"/>
              </w:rPr>
            </w:pPr>
            <w:r w:rsidRPr="00D86F14">
              <w:rPr>
                <w:rFonts w:eastAsia="Times New Roman" w:cs="Arial"/>
                <w:color w:val="000000"/>
                <w:sz w:val="20"/>
                <w:szCs w:val="20"/>
                <w:lang w:eastAsia="de-CH"/>
              </w:rPr>
              <w:t> </w:t>
            </w:r>
          </w:p>
        </w:tc>
      </w:tr>
      <w:tr w:rsidR="0076368D" w:rsidRPr="00000D69" w14:paraId="7DBEFDB4" w14:textId="77777777" w:rsidTr="005851DB">
        <w:trPr>
          <w:trHeight w:val="280"/>
        </w:trPr>
        <w:tc>
          <w:tcPr>
            <w:tcW w:w="4298" w:type="pct"/>
            <w:gridSpan w:val="2"/>
            <w:tcBorders>
              <w:top w:val="nil"/>
              <w:left w:val="nil"/>
              <w:bottom w:val="single" w:sz="12" w:space="0" w:color="auto"/>
              <w:right w:val="single" w:sz="12" w:space="0" w:color="auto"/>
            </w:tcBorders>
            <w:shd w:val="clear" w:color="auto" w:fill="auto"/>
            <w:noWrap/>
            <w:vAlign w:val="bottom"/>
            <w:hideMark/>
          </w:tcPr>
          <w:p w14:paraId="5CBC72A3" w14:textId="77777777" w:rsidR="0076368D" w:rsidRPr="00D81A14" w:rsidRDefault="0076368D" w:rsidP="005851DB">
            <w:pPr>
              <w:tabs>
                <w:tab w:val="clear" w:pos="5103"/>
              </w:tabs>
              <w:spacing w:after="0"/>
              <w:rPr>
                <w:rFonts w:eastAsia="Times New Roman" w:cs="Arial"/>
                <w:b/>
                <w:color w:val="000000"/>
                <w:sz w:val="20"/>
                <w:szCs w:val="20"/>
                <w:lang w:eastAsia="de-CH"/>
              </w:rPr>
            </w:pPr>
            <w:r w:rsidRPr="00D81A14">
              <w:rPr>
                <w:rFonts w:eastAsia="Times New Roman" w:cs="Arial"/>
                <w:b/>
                <w:color w:val="000000"/>
                <w:sz w:val="20"/>
                <w:szCs w:val="20"/>
                <w:lang w:eastAsia="de-CH"/>
              </w:rPr>
              <w:t>Massgebliches Einkommen</w:t>
            </w:r>
          </w:p>
        </w:tc>
        <w:tc>
          <w:tcPr>
            <w:tcW w:w="702" w:type="pct"/>
            <w:tcBorders>
              <w:top w:val="nil"/>
              <w:left w:val="single" w:sz="12" w:space="0" w:color="auto"/>
              <w:bottom w:val="single" w:sz="12" w:space="0" w:color="auto"/>
              <w:right w:val="nil"/>
            </w:tcBorders>
            <w:shd w:val="clear" w:color="auto" w:fill="auto"/>
            <w:noWrap/>
            <w:vAlign w:val="bottom"/>
            <w:hideMark/>
          </w:tcPr>
          <w:p w14:paraId="4486AD9B" w14:textId="77777777" w:rsidR="0076368D" w:rsidRPr="00D86F14" w:rsidRDefault="0076368D" w:rsidP="005851DB">
            <w:pPr>
              <w:tabs>
                <w:tab w:val="clear" w:pos="5103"/>
              </w:tabs>
              <w:spacing w:after="0"/>
              <w:rPr>
                <w:rFonts w:eastAsia="Times New Roman" w:cs="Arial"/>
                <w:color w:val="000000"/>
                <w:sz w:val="20"/>
                <w:szCs w:val="20"/>
                <w:lang w:eastAsia="de-CH"/>
              </w:rPr>
            </w:pPr>
            <w:r w:rsidRPr="00D86F14">
              <w:rPr>
                <w:rFonts w:eastAsia="Times New Roman" w:cs="Arial"/>
                <w:color w:val="000000"/>
                <w:sz w:val="20"/>
                <w:szCs w:val="20"/>
                <w:lang w:eastAsia="de-CH"/>
              </w:rPr>
              <w:t> </w:t>
            </w:r>
          </w:p>
        </w:tc>
      </w:tr>
      <w:tr w:rsidR="0076368D" w:rsidRPr="00000D69" w14:paraId="097E8B2A" w14:textId="77777777" w:rsidTr="005851DB">
        <w:trPr>
          <w:trHeight w:val="280"/>
        </w:trPr>
        <w:tc>
          <w:tcPr>
            <w:tcW w:w="157" w:type="pct"/>
            <w:tcBorders>
              <w:top w:val="single" w:sz="12" w:space="0" w:color="auto"/>
              <w:left w:val="nil"/>
              <w:bottom w:val="nil"/>
              <w:right w:val="nil"/>
            </w:tcBorders>
            <w:shd w:val="clear" w:color="auto" w:fill="auto"/>
            <w:noWrap/>
            <w:vAlign w:val="bottom"/>
            <w:hideMark/>
          </w:tcPr>
          <w:p w14:paraId="2317DFE6" w14:textId="77777777" w:rsidR="0076368D" w:rsidRPr="00D86F14" w:rsidRDefault="0076368D" w:rsidP="005851DB">
            <w:pPr>
              <w:tabs>
                <w:tab w:val="clear" w:pos="5103"/>
              </w:tabs>
              <w:spacing w:after="0"/>
              <w:rPr>
                <w:rFonts w:eastAsia="Times New Roman" w:cs="Arial"/>
                <w:color w:val="000000"/>
                <w:sz w:val="20"/>
                <w:szCs w:val="20"/>
                <w:lang w:eastAsia="de-CH"/>
              </w:rPr>
            </w:pPr>
          </w:p>
        </w:tc>
        <w:tc>
          <w:tcPr>
            <w:tcW w:w="4141" w:type="pct"/>
            <w:tcBorders>
              <w:top w:val="single" w:sz="12" w:space="0" w:color="auto"/>
              <w:left w:val="nil"/>
              <w:bottom w:val="nil"/>
              <w:right w:val="single" w:sz="12" w:space="0" w:color="auto"/>
            </w:tcBorders>
            <w:shd w:val="clear" w:color="auto" w:fill="auto"/>
            <w:noWrap/>
            <w:vAlign w:val="bottom"/>
            <w:hideMark/>
          </w:tcPr>
          <w:p w14:paraId="65F5379F" w14:textId="77777777" w:rsidR="0076368D" w:rsidRPr="00D86F14" w:rsidRDefault="0076368D" w:rsidP="005851DB">
            <w:pPr>
              <w:tabs>
                <w:tab w:val="clear" w:pos="5103"/>
              </w:tabs>
              <w:spacing w:after="0"/>
              <w:rPr>
                <w:rFonts w:eastAsia="Times New Roman" w:cs="Arial"/>
                <w:color w:val="000000"/>
                <w:sz w:val="20"/>
                <w:szCs w:val="20"/>
                <w:lang w:eastAsia="de-CH"/>
              </w:rPr>
            </w:pPr>
            <w:r w:rsidRPr="00D86F14">
              <w:rPr>
                <w:rFonts w:eastAsia="Times New Roman" w:cs="Arial"/>
                <w:color w:val="000000"/>
                <w:sz w:val="20"/>
                <w:szCs w:val="20"/>
                <w:lang w:eastAsia="de-CH"/>
              </w:rPr>
              <w:t xml:space="preserve">130 % SH-Grundbedarf </w:t>
            </w:r>
          </w:p>
        </w:tc>
        <w:tc>
          <w:tcPr>
            <w:tcW w:w="702" w:type="pct"/>
            <w:tcBorders>
              <w:top w:val="single" w:sz="12" w:space="0" w:color="auto"/>
              <w:left w:val="single" w:sz="12" w:space="0" w:color="auto"/>
              <w:bottom w:val="nil"/>
              <w:right w:val="nil"/>
            </w:tcBorders>
            <w:shd w:val="clear" w:color="auto" w:fill="auto"/>
            <w:noWrap/>
            <w:vAlign w:val="bottom"/>
            <w:hideMark/>
          </w:tcPr>
          <w:p w14:paraId="0B63AA07" w14:textId="39FF182C" w:rsidR="0076368D" w:rsidRPr="00D86F14" w:rsidRDefault="00A54E6E" w:rsidP="005851DB">
            <w:pPr>
              <w:tabs>
                <w:tab w:val="clear" w:pos="5103"/>
              </w:tabs>
              <w:spacing w:after="0"/>
              <w:jc w:val="right"/>
              <w:rPr>
                <w:rFonts w:eastAsia="Times New Roman" w:cs="Arial"/>
                <w:color w:val="000000"/>
                <w:sz w:val="20"/>
                <w:szCs w:val="20"/>
                <w:lang w:eastAsia="de-CH"/>
              </w:rPr>
            </w:pPr>
            <w:r>
              <w:rPr>
                <w:rFonts w:eastAsia="Times New Roman" w:cs="Arial"/>
                <w:color w:val="000000"/>
                <w:sz w:val="20"/>
                <w:szCs w:val="20"/>
                <w:lang w:eastAsia="de-CH"/>
              </w:rPr>
              <w:t>24’601</w:t>
            </w:r>
            <w:r w:rsidR="0076368D" w:rsidRPr="00000D69">
              <w:rPr>
                <w:rFonts w:eastAsia="Times New Roman" w:cs="Arial"/>
                <w:color w:val="000000"/>
                <w:sz w:val="20"/>
                <w:szCs w:val="20"/>
                <w:lang w:eastAsia="de-CH"/>
              </w:rPr>
              <w:t>.</w:t>
            </w:r>
            <w:r w:rsidR="0076368D">
              <w:rPr>
                <w:rFonts w:eastAsia="Times New Roman" w:cs="Arial"/>
                <w:color w:val="000000"/>
                <w:sz w:val="20"/>
                <w:szCs w:val="20"/>
                <w:lang w:eastAsia="de-CH"/>
              </w:rPr>
              <w:t>–</w:t>
            </w:r>
          </w:p>
        </w:tc>
      </w:tr>
      <w:tr w:rsidR="0076368D" w:rsidRPr="00000D69" w14:paraId="2AB31ACD" w14:textId="77777777" w:rsidTr="005851DB">
        <w:trPr>
          <w:trHeight w:val="280"/>
        </w:trPr>
        <w:tc>
          <w:tcPr>
            <w:tcW w:w="157" w:type="pct"/>
            <w:tcBorders>
              <w:top w:val="nil"/>
              <w:left w:val="nil"/>
              <w:bottom w:val="nil"/>
              <w:right w:val="nil"/>
            </w:tcBorders>
            <w:shd w:val="clear" w:color="auto" w:fill="auto"/>
            <w:noWrap/>
            <w:vAlign w:val="bottom"/>
            <w:hideMark/>
          </w:tcPr>
          <w:p w14:paraId="56AD7BB6" w14:textId="77777777" w:rsidR="0076368D" w:rsidRPr="00D86F14" w:rsidRDefault="0076368D" w:rsidP="005851DB">
            <w:pPr>
              <w:tabs>
                <w:tab w:val="clear" w:pos="5103"/>
              </w:tabs>
              <w:spacing w:after="0"/>
              <w:jc w:val="right"/>
              <w:rPr>
                <w:rFonts w:eastAsia="Times New Roman" w:cs="Arial"/>
                <w:color w:val="000000"/>
                <w:sz w:val="20"/>
                <w:szCs w:val="20"/>
                <w:lang w:eastAsia="de-CH"/>
              </w:rPr>
            </w:pPr>
            <w:r w:rsidRPr="00D86F14">
              <w:rPr>
                <w:rFonts w:eastAsia="Times New Roman" w:cs="Arial"/>
                <w:color w:val="000000"/>
                <w:sz w:val="20"/>
                <w:szCs w:val="20"/>
                <w:lang w:eastAsia="de-CH"/>
              </w:rPr>
              <w:t>+</w:t>
            </w:r>
          </w:p>
        </w:tc>
        <w:tc>
          <w:tcPr>
            <w:tcW w:w="4141" w:type="pct"/>
            <w:tcBorders>
              <w:top w:val="nil"/>
              <w:left w:val="nil"/>
              <w:bottom w:val="single" w:sz="4" w:space="0" w:color="auto"/>
              <w:right w:val="single" w:sz="12" w:space="0" w:color="auto"/>
            </w:tcBorders>
            <w:shd w:val="clear" w:color="auto" w:fill="auto"/>
            <w:noWrap/>
            <w:vAlign w:val="bottom"/>
            <w:hideMark/>
          </w:tcPr>
          <w:p w14:paraId="586FCA76" w14:textId="77777777" w:rsidR="0076368D" w:rsidRPr="00D86F14" w:rsidRDefault="0076368D" w:rsidP="005851DB">
            <w:pPr>
              <w:tabs>
                <w:tab w:val="clear" w:pos="5103"/>
              </w:tabs>
              <w:spacing w:after="0"/>
              <w:rPr>
                <w:rFonts w:eastAsia="Times New Roman" w:cs="Arial"/>
                <w:color w:val="000000"/>
                <w:sz w:val="20"/>
                <w:szCs w:val="20"/>
                <w:lang w:eastAsia="de-CH"/>
              </w:rPr>
            </w:pPr>
            <w:r>
              <w:rPr>
                <w:rFonts w:eastAsia="Times New Roman" w:cs="Arial"/>
                <w:color w:val="000000"/>
                <w:sz w:val="20"/>
                <w:szCs w:val="20"/>
                <w:lang w:eastAsia="de-CH"/>
              </w:rPr>
              <w:t>75 % * (J</w:t>
            </w:r>
            <w:r w:rsidRPr="00D86F14">
              <w:rPr>
                <w:rFonts w:eastAsia="Times New Roman" w:cs="Arial"/>
                <w:color w:val="000000"/>
                <w:sz w:val="20"/>
                <w:szCs w:val="20"/>
                <w:lang w:eastAsia="de-CH"/>
              </w:rPr>
              <w:t>ahres</w:t>
            </w:r>
            <w:r>
              <w:rPr>
                <w:rFonts w:eastAsia="Times New Roman" w:cs="Arial"/>
                <w:color w:val="000000"/>
                <w:sz w:val="20"/>
                <w:szCs w:val="20"/>
                <w:lang w:eastAsia="de-CH"/>
              </w:rPr>
              <w:t>netto</w:t>
            </w:r>
            <w:r w:rsidRPr="00D86F14">
              <w:rPr>
                <w:rFonts w:eastAsia="Times New Roman" w:cs="Arial"/>
                <w:color w:val="000000"/>
                <w:sz w:val="20"/>
                <w:szCs w:val="20"/>
                <w:lang w:eastAsia="de-CH"/>
              </w:rPr>
              <w:t>einkommen - 130 % SH-Grundbedarf)</w:t>
            </w:r>
          </w:p>
        </w:tc>
        <w:tc>
          <w:tcPr>
            <w:tcW w:w="702" w:type="pct"/>
            <w:tcBorders>
              <w:top w:val="nil"/>
              <w:left w:val="single" w:sz="12" w:space="0" w:color="auto"/>
              <w:bottom w:val="single" w:sz="4" w:space="0" w:color="auto"/>
              <w:right w:val="nil"/>
            </w:tcBorders>
            <w:shd w:val="clear" w:color="auto" w:fill="auto"/>
            <w:noWrap/>
            <w:vAlign w:val="bottom"/>
            <w:hideMark/>
          </w:tcPr>
          <w:p w14:paraId="53B6E66F" w14:textId="232B825E" w:rsidR="0076368D" w:rsidRPr="00D86F14" w:rsidRDefault="0076368D" w:rsidP="00AE65A6">
            <w:pPr>
              <w:tabs>
                <w:tab w:val="clear" w:pos="5103"/>
              </w:tabs>
              <w:spacing w:after="0"/>
              <w:jc w:val="right"/>
              <w:rPr>
                <w:rFonts w:eastAsia="Times New Roman" w:cs="Arial"/>
                <w:color w:val="000000"/>
                <w:sz w:val="20"/>
                <w:szCs w:val="20"/>
                <w:lang w:eastAsia="de-CH"/>
              </w:rPr>
            </w:pPr>
            <w:r w:rsidRPr="00192DE9">
              <w:rPr>
                <w:rFonts w:eastAsia="Times New Roman" w:cs="Arial"/>
                <w:color w:val="000000"/>
                <w:sz w:val="20"/>
                <w:szCs w:val="20"/>
                <w:lang w:eastAsia="de-CH"/>
              </w:rPr>
              <w:t>1</w:t>
            </w:r>
            <w:r w:rsidR="00741093">
              <w:rPr>
                <w:rFonts w:eastAsia="Times New Roman" w:cs="Arial"/>
                <w:color w:val="000000"/>
                <w:sz w:val="20"/>
                <w:szCs w:val="20"/>
                <w:lang w:eastAsia="de-CH"/>
              </w:rPr>
              <w:t>5</w:t>
            </w:r>
            <w:r w:rsidRPr="00192DE9">
              <w:rPr>
                <w:rFonts w:eastAsia="Times New Roman" w:cs="Arial"/>
                <w:color w:val="000000"/>
                <w:sz w:val="20"/>
                <w:szCs w:val="20"/>
                <w:lang w:eastAsia="de-CH"/>
              </w:rPr>
              <w:t>’</w:t>
            </w:r>
            <w:r w:rsidR="00741093">
              <w:rPr>
                <w:rFonts w:eastAsia="Times New Roman" w:cs="Arial"/>
                <w:color w:val="000000"/>
                <w:sz w:val="20"/>
                <w:szCs w:val="20"/>
                <w:lang w:eastAsia="de-CH"/>
              </w:rPr>
              <w:t>299</w:t>
            </w:r>
            <w:r w:rsidRPr="00000D69">
              <w:rPr>
                <w:rFonts w:eastAsia="Times New Roman" w:cs="Arial"/>
                <w:color w:val="000000"/>
                <w:sz w:val="20"/>
                <w:szCs w:val="20"/>
                <w:lang w:eastAsia="de-CH"/>
              </w:rPr>
              <w:t>.</w:t>
            </w:r>
            <w:r>
              <w:rPr>
                <w:rFonts w:eastAsia="Times New Roman" w:cs="Arial"/>
                <w:color w:val="000000"/>
                <w:sz w:val="20"/>
                <w:szCs w:val="20"/>
                <w:lang w:eastAsia="de-CH"/>
              </w:rPr>
              <w:t>–</w:t>
            </w:r>
          </w:p>
        </w:tc>
      </w:tr>
      <w:tr w:rsidR="0076368D" w:rsidRPr="00000D69" w14:paraId="0F5144E8" w14:textId="77777777" w:rsidTr="005851DB">
        <w:trPr>
          <w:trHeight w:val="280"/>
        </w:trPr>
        <w:tc>
          <w:tcPr>
            <w:tcW w:w="157" w:type="pct"/>
            <w:tcBorders>
              <w:top w:val="nil"/>
              <w:left w:val="nil"/>
              <w:bottom w:val="nil"/>
              <w:right w:val="nil"/>
            </w:tcBorders>
            <w:shd w:val="clear" w:color="auto" w:fill="auto"/>
            <w:noWrap/>
            <w:vAlign w:val="bottom"/>
            <w:hideMark/>
          </w:tcPr>
          <w:p w14:paraId="3417E238" w14:textId="77777777" w:rsidR="0076368D" w:rsidRPr="00D86F14" w:rsidRDefault="0076368D" w:rsidP="005851DB">
            <w:pPr>
              <w:tabs>
                <w:tab w:val="clear" w:pos="5103"/>
              </w:tabs>
              <w:spacing w:after="0"/>
              <w:jc w:val="right"/>
              <w:rPr>
                <w:rFonts w:eastAsia="Times New Roman" w:cs="Arial"/>
                <w:color w:val="000000"/>
                <w:sz w:val="20"/>
                <w:szCs w:val="20"/>
                <w:lang w:eastAsia="de-CH"/>
              </w:rPr>
            </w:pPr>
            <w:r w:rsidRPr="00D86F14">
              <w:rPr>
                <w:rFonts w:eastAsia="Times New Roman" w:cs="Arial"/>
                <w:color w:val="000000"/>
                <w:sz w:val="20"/>
                <w:szCs w:val="20"/>
                <w:lang w:eastAsia="de-CH"/>
              </w:rPr>
              <w:t>=</w:t>
            </w:r>
          </w:p>
        </w:tc>
        <w:tc>
          <w:tcPr>
            <w:tcW w:w="4141" w:type="pct"/>
            <w:tcBorders>
              <w:top w:val="nil"/>
              <w:left w:val="nil"/>
              <w:bottom w:val="nil"/>
              <w:right w:val="single" w:sz="12" w:space="0" w:color="auto"/>
            </w:tcBorders>
            <w:shd w:val="clear" w:color="auto" w:fill="auto"/>
            <w:noWrap/>
            <w:vAlign w:val="bottom"/>
            <w:hideMark/>
          </w:tcPr>
          <w:p w14:paraId="134E5D95" w14:textId="77777777" w:rsidR="0076368D" w:rsidRPr="00D86F14" w:rsidRDefault="0076368D" w:rsidP="005851DB">
            <w:pPr>
              <w:tabs>
                <w:tab w:val="clear" w:pos="5103"/>
              </w:tabs>
              <w:spacing w:after="0"/>
              <w:rPr>
                <w:rFonts w:eastAsia="Times New Roman" w:cs="Arial"/>
                <w:color w:val="000000"/>
                <w:sz w:val="20"/>
                <w:szCs w:val="20"/>
                <w:lang w:eastAsia="de-CH"/>
              </w:rPr>
            </w:pPr>
            <w:r w:rsidRPr="00000D69">
              <w:rPr>
                <w:rFonts w:eastAsia="Times New Roman" w:cs="Arial"/>
                <w:color w:val="000000"/>
                <w:sz w:val="20"/>
                <w:szCs w:val="20"/>
                <w:lang w:eastAsia="de-CH"/>
              </w:rPr>
              <w:t>Massgebliches</w:t>
            </w:r>
            <w:r w:rsidRPr="00D86F14">
              <w:rPr>
                <w:rFonts w:eastAsia="Times New Roman" w:cs="Arial"/>
                <w:color w:val="000000"/>
                <w:sz w:val="20"/>
                <w:szCs w:val="20"/>
                <w:lang w:eastAsia="de-CH"/>
              </w:rPr>
              <w:t xml:space="preserve"> Einkommen</w:t>
            </w:r>
          </w:p>
        </w:tc>
        <w:tc>
          <w:tcPr>
            <w:tcW w:w="702" w:type="pct"/>
            <w:tcBorders>
              <w:top w:val="nil"/>
              <w:left w:val="single" w:sz="12" w:space="0" w:color="auto"/>
              <w:bottom w:val="nil"/>
              <w:right w:val="nil"/>
            </w:tcBorders>
            <w:shd w:val="clear" w:color="auto" w:fill="auto"/>
            <w:noWrap/>
            <w:vAlign w:val="bottom"/>
            <w:hideMark/>
          </w:tcPr>
          <w:p w14:paraId="4068CB6F" w14:textId="4B2DDDCE" w:rsidR="0076368D" w:rsidRPr="00D86F14" w:rsidRDefault="0076368D" w:rsidP="00192DE9">
            <w:pPr>
              <w:tabs>
                <w:tab w:val="clear" w:pos="5103"/>
              </w:tabs>
              <w:spacing w:after="0"/>
              <w:jc w:val="right"/>
              <w:rPr>
                <w:rFonts w:eastAsia="Times New Roman" w:cs="Arial"/>
                <w:color w:val="000000"/>
                <w:sz w:val="20"/>
                <w:szCs w:val="20"/>
                <w:lang w:eastAsia="de-CH"/>
              </w:rPr>
            </w:pPr>
            <w:r>
              <w:rPr>
                <w:rFonts w:eastAsia="Times New Roman" w:cs="Arial"/>
                <w:color w:val="000000"/>
                <w:sz w:val="20"/>
                <w:szCs w:val="20"/>
                <w:lang w:eastAsia="de-CH"/>
              </w:rPr>
              <w:t>3</w:t>
            </w:r>
            <w:r w:rsidR="00A54E6E">
              <w:rPr>
                <w:rFonts w:eastAsia="Times New Roman" w:cs="Arial"/>
                <w:color w:val="000000"/>
                <w:sz w:val="20"/>
                <w:szCs w:val="20"/>
                <w:lang w:eastAsia="de-CH"/>
              </w:rPr>
              <w:t>6’150</w:t>
            </w:r>
            <w:r w:rsidRPr="00000D69">
              <w:rPr>
                <w:rFonts w:eastAsia="Times New Roman" w:cs="Arial"/>
                <w:color w:val="000000"/>
                <w:sz w:val="20"/>
                <w:szCs w:val="20"/>
                <w:lang w:eastAsia="de-CH"/>
              </w:rPr>
              <w:t>.</w:t>
            </w:r>
            <w:r>
              <w:rPr>
                <w:rFonts w:eastAsia="Times New Roman" w:cs="Arial"/>
                <w:color w:val="000000"/>
                <w:sz w:val="20"/>
                <w:szCs w:val="20"/>
                <w:lang w:eastAsia="de-CH"/>
              </w:rPr>
              <w:t>–</w:t>
            </w:r>
          </w:p>
        </w:tc>
      </w:tr>
      <w:tr w:rsidR="0076368D" w:rsidRPr="00000D69" w14:paraId="1860DFF6" w14:textId="77777777" w:rsidTr="005851DB">
        <w:trPr>
          <w:trHeight w:val="280"/>
        </w:trPr>
        <w:tc>
          <w:tcPr>
            <w:tcW w:w="157" w:type="pct"/>
            <w:tcBorders>
              <w:top w:val="nil"/>
              <w:left w:val="nil"/>
              <w:bottom w:val="nil"/>
              <w:right w:val="nil"/>
            </w:tcBorders>
            <w:shd w:val="clear" w:color="auto" w:fill="auto"/>
            <w:noWrap/>
            <w:vAlign w:val="bottom"/>
            <w:hideMark/>
          </w:tcPr>
          <w:p w14:paraId="3BCD3B1E" w14:textId="77777777" w:rsidR="0076368D" w:rsidRPr="00D86F14" w:rsidRDefault="0076368D" w:rsidP="005851DB">
            <w:pPr>
              <w:tabs>
                <w:tab w:val="clear" w:pos="5103"/>
              </w:tabs>
              <w:spacing w:after="0"/>
              <w:jc w:val="right"/>
              <w:rPr>
                <w:rFonts w:eastAsia="Times New Roman" w:cs="Arial"/>
                <w:color w:val="000000"/>
                <w:sz w:val="20"/>
                <w:szCs w:val="20"/>
                <w:lang w:eastAsia="de-CH"/>
              </w:rPr>
            </w:pPr>
          </w:p>
        </w:tc>
        <w:tc>
          <w:tcPr>
            <w:tcW w:w="4141" w:type="pct"/>
            <w:tcBorders>
              <w:top w:val="nil"/>
              <w:left w:val="nil"/>
              <w:bottom w:val="nil"/>
              <w:right w:val="single" w:sz="12" w:space="0" w:color="auto"/>
            </w:tcBorders>
            <w:shd w:val="clear" w:color="auto" w:fill="auto"/>
            <w:noWrap/>
            <w:vAlign w:val="bottom"/>
            <w:hideMark/>
          </w:tcPr>
          <w:p w14:paraId="4B61C8A3" w14:textId="77777777" w:rsidR="0076368D" w:rsidRPr="00D86F14" w:rsidRDefault="0076368D" w:rsidP="005851DB">
            <w:pPr>
              <w:tabs>
                <w:tab w:val="clear" w:pos="5103"/>
              </w:tabs>
              <w:spacing w:after="0"/>
              <w:rPr>
                <w:rFonts w:eastAsia="Times New Roman" w:cs="Arial"/>
                <w:sz w:val="20"/>
                <w:szCs w:val="20"/>
                <w:lang w:eastAsia="de-CH"/>
              </w:rPr>
            </w:pPr>
          </w:p>
        </w:tc>
        <w:tc>
          <w:tcPr>
            <w:tcW w:w="702" w:type="pct"/>
            <w:tcBorders>
              <w:top w:val="nil"/>
              <w:left w:val="single" w:sz="12" w:space="0" w:color="auto"/>
              <w:bottom w:val="nil"/>
              <w:right w:val="nil"/>
            </w:tcBorders>
            <w:shd w:val="clear" w:color="auto" w:fill="auto"/>
            <w:noWrap/>
            <w:vAlign w:val="bottom"/>
            <w:hideMark/>
          </w:tcPr>
          <w:p w14:paraId="015AEDC9" w14:textId="77777777" w:rsidR="0076368D" w:rsidRPr="00D86F14" w:rsidRDefault="0076368D" w:rsidP="005851DB">
            <w:pPr>
              <w:tabs>
                <w:tab w:val="clear" w:pos="5103"/>
              </w:tabs>
              <w:spacing w:after="0"/>
              <w:rPr>
                <w:rFonts w:eastAsia="Times New Roman" w:cs="Arial"/>
                <w:color w:val="000000"/>
                <w:sz w:val="20"/>
                <w:szCs w:val="20"/>
                <w:lang w:eastAsia="de-CH"/>
              </w:rPr>
            </w:pPr>
            <w:r w:rsidRPr="00D86F14">
              <w:rPr>
                <w:rFonts w:eastAsia="Times New Roman" w:cs="Arial"/>
                <w:color w:val="000000"/>
                <w:sz w:val="20"/>
                <w:szCs w:val="20"/>
                <w:lang w:eastAsia="de-CH"/>
              </w:rPr>
              <w:t> </w:t>
            </w:r>
          </w:p>
        </w:tc>
      </w:tr>
      <w:tr w:rsidR="0076368D" w:rsidRPr="00000D69" w14:paraId="1B8B0A0B" w14:textId="77777777" w:rsidTr="005851DB">
        <w:trPr>
          <w:trHeight w:val="280"/>
        </w:trPr>
        <w:tc>
          <w:tcPr>
            <w:tcW w:w="4298" w:type="pct"/>
            <w:gridSpan w:val="2"/>
            <w:tcBorders>
              <w:top w:val="nil"/>
              <w:left w:val="nil"/>
              <w:bottom w:val="single" w:sz="12" w:space="0" w:color="auto"/>
              <w:right w:val="single" w:sz="12" w:space="0" w:color="auto"/>
            </w:tcBorders>
            <w:shd w:val="clear" w:color="auto" w:fill="auto"/>
            <w:noWrap/>
            <w:vAlign w:val="bottom"/>
            <w:hideMark/>
          </w:tcPr>
          <w:p w14:paraId="577C8CBA" w14:textId="77777777" w:rsidR="0076368D" w:rsidRPr="00D81A14" w:rsidRDefault="0076368D" w:rsidP="005851DB">
            <w:pPr>
              <w:tabs>
                <w:tab w:val="clear" w:pos="5103"/>
              </w:tabs>
              <w:spacing w:after="0"/>
              <w:rPr>
                <w:rFonts w:eastAsia="Times New Roman" w:cs="Arial"/>
                <w:b/>
                <w:color w:val="000000"/>
                <w:sz w:val="20"/>
                <w:szCs w:val="20"/>
                <w:lang w:eastAsia="de-CH"/>
              </w:rPr>
            </w:pPr>
            <w:r w:rsidRPr="00D81A14">
              <w:rPr>
                <w:rFonts w:eastAsia="Times New Roman" w:cs="Arial"/>
                <w:b/>
                <w:color w:val="000000"/>
                <w:sz w:val="20"/>
                <w:szCs w:val="20"/>
                <w:lang w:eastAsia="de-CH"/>
              </w:rPr>
              <w:t>Tragbares Mass der Mietzinsbelastung</w:t>
            </w:r>
          </w:p>
        </w:tc>
        <w:tc>
          <w:tcPr>
            <w:tcW w:w="702" w:type="pct"/>
            <w:tcBorders>
              <w:top w:val="nil"/>
              <w:left w:val="single" w:sz="12" w:space="0" w:color="auto"/>
              <w:bottom w:val="single" w:sz="12" w:space="0" w:color="auto"/>
              <w:right w:val="nil"/>
            </w:tcBorders>
            <w:shd w:val="clear" w:color="auto" w:fill="auto"/>
            <w:noWrap/>
            <w:vAlign w:val="bottom"/>
            <w:hideMark/>
          </w:tcPr>
          <w:p w14:paraId="602F8EED" w14:textId="77777777" w:rsidR="0076368D" w:rsidRPr="00D86F14" w:rsidRDefault="0076368D" w:rsidP="005851DB">
            <w:pPr>
              <w:tabs>
                <w:tab w:val="clear" w:pos="5103"/>
              </w:tabs>
              <w:spacing w:after="0"/>
              <w:rPr>
                <w:rFonts w:eastAsia="Times New Roman" w:cs="Arial"/>
                <w:color w:val="000000"/>
                <w:sz w:val="20"/>
                <w:szCs w:val="20"/>
                <w:lang w:eastAsia="de-CH"/>
              </w:rPr>
            </w:pPr>
            <w:r w:rsidRPr="00D86F14">
              <w:rPr>
                <w:rFonts w:eastAsia="Times New Roman" w:cs="Arial"/>
                <w:color w:val="000000"/>
                <w:sz w:val="20"/>
                <w:szCs w:val="20"/>
                <w:lang w:eastAsia="de-CH"/>
              </w:rPr>
              <w:t> </w:t>
            </w:r>
          </w:p>
        </w:tc>
      </w:tr>
      <w:tr w:rsidR="0076368D" w:rsidRPr="00000D69" w14:paraId="1E43337E" w14:textId="77777777" w:rsidTr="005851DB">
        <w:trPr>
          <w:trHeight w:val="280"/>
        </w:trPr>
        <w:tc>
          <w:tcPr>
            <w:tcW w:w="157" w:type="pct"/>
            <w:tcBorders>
              <w:top w:val="single" w:sz="12" w:space="0" w:color="auto"/>
              <w:left w:val="nil"/>
              <w:bottom w:val="nil"/>
              <w:right w:val="nil"/>
            </w:tcBorders>
            <w:shd w:val="clear" w:color="auto" w:fill="auto"/>
            <w:noWrap/>
            <w:vAlign w:val="bottom"/>
            <w:hideMark/>
          </w:tcPr>
          <w:p w14:paraId="400D09B5" w14:textId="77777777" w:rsidR="0076368D" w:rsidRPr="00D86F14" w:rsidRDefault="0076368D" w:rsidP="005851DB">
            <w:pPr>
              <w:tabs>
                <w:tab w:val="clear" w:pos="5103"/>
              </w:tabs>
              <w:spacing w:after="0"/>
              <w:rPr>
                <w:rFonts w:eastAsia="Times New Roman" w:cs="Arial"/>
                <w:color w:val="000000"/>
                <w:sz w:val="20"/>
                <w:szCs w:val="20"/>
                <w:lang w:eastAsia="de-CH"/>
              </w:rPr>
            </w:pPr>
          </w:p>
        </w:tc>
        <w:tc>
          <w:tcPr>
            <w:tcW w:w="4141" w:type="pct"/>
            <w:tcBorders>
              <w:top w:val="single" w:sz="12" w:space="0" w:color="auto"/>
              <w:left w:val="nil"/>
              <w:bottom w:val="nil"/>
              <w:right w:val="single" w:sz="12" w:space="0" w:color="auto"/>
            </w:tcBorders>
            <w:shd w:val="clear" w:color="auto" w:fill="auto"/>
            <w:noWrap/>
            <w:vAlign w:val="bottom"/>
            <w:hideMark/>
          </w:tcPr>
          <w:p w14:paraId="4F3A4A0E" w14:textId="77777777" w:rsidR="0076368D" w:rsidRPr="00D86F14" w:rsidRDefault="0076368D" w:rsidP="005851DB">
            <w:pPr>
              <w:tabs>
                <w:tab w:val="clear" w:pos="5103"/>
              </w:tabs>
              <w:spacing w:after="0"/>
              <w:rPr>
                <w:rFonts w:eastAsia="Times New Roman" w:cs="Arial"/>
                <w:color w:val="000000"/>
                <w:sz w:val="20"/>
                <w:szCs w:val="20"/>
                <w:lang w:eastAsia="de-CH"/>
              </w:rPr>
            </w:pPr>
            <w:r w:rsidRPr="00000D69">
              <w:rPr>
                <w:rFonts w:eastAsia="Times New Roman" w:cs="Arial"/>
                <w:color w:val="000000"/>
                <w:sz w:val="20"/>
                <w:szCs w:val="20"/>
                <w:lang w:eastAsia="de-CH"/>
              </w:rPr>
              <w:t>Massgebliches</w:t>
            </w:r>
            <w:r w:rsidRPr="00D86F14">
              <w:rPr>
                <w:rFonts w:eastAsia="Times New Roman" w:cs="Arial"/>
                <w:color w:val="000000"/>
                <w:sz w:val="20"/>
                <w:szCs w:val="20"/>
                <w:lang w:eastAsia="de-CH"/>
              </w:rPr>
              <w:t xml:space="preserve"> Einkommen</w:t>
            </w:r>
          </w:p>
        </w:tc>
        <w:tc>
          <w:tcPr>
            <w:tcW w:w="702" w:type="pct"/>
            <w:tcBorders>
              <w:top w:val="single" w:sz="12" w:space="0" w:color="auto"/>
              <w:left w:val="single" w:sz="12" w:space="0" w:color="auto"/>
              <w:bottom w:val="nil"/>
              <w:right w:val="nil"/>
            </w:tcBorders>
            <w:shd w:val="clear" w:color="auto" w:fill="auto"/>
            <w:noWrap/>
            <w:vAlign w:val="bottom"/>
            <w:hideMark/>
          </w:tcPr>
          <w:p w14:paraId="0A37EB1B" w14:textId="19652256" w:rsidR="0076368D" w:rsidRPr="00D86F14" w:rsidRDefault="0076368D" w:rsidP="0086302E">
            <w:pPr>
              <w:tabs>
                <w:tab w:val="clear" w:pos="5103"/>
              </w:tabs>
              <w:spacing w:after="0"/>
              <w:jc w:val="right"/>
              <w:rPr>
                <w:rFonts w:eastAsia="Times New Roman" w:cs="Arial"/>
                <w:color w:val="000000"/>
                <w:sz w:val="20"/>
                <w:szCs w:val="20"/>
                <w:lang w:eastAsia="de-CH"/>
              </w:rPr>
            </w:pPr>
            <w:r>
              <w:rPr>
                <w:rFonts w:eastAsia="Times New Roman" w:cs="Arial"/>
                <w:color w:val="000000"/>
                <w:sz w:val="20"/>
                <w:szCs w:val="20"/>
                <w:lang w:eastAsia="de-CH"/>
              </w:rPr>
              <w:t>3</w:t>
            </w:r>
            <w:r w:rsidR="002943D2">
              <w:rPr>
                <w:rFonts w:eastAsia="Times New Roman" w:cs="Arial"/>
                <w:color w:val="000000"/>
                <w:sz w:val="20"/>
                <w:szCs w:val="20"/>
                <w:lang w:eastAsia="de-CH"/>
              </w:rPr>
              <w:t>6</w:t>
            </w:r>
            <w:r>
              <w:rPr>
                <w:rFonts w:eastAsia="Times New Roman" w:cs="Arial"/>
                <w:color w:val="000000"/>
                <w:sz w:val="20"/>
                <w:szCs w:val="20"/>
                <w:lang w:eastAsia="de-CH"/>
              </w:rPr>
              <w:t>’</w:t>
            </w:r>
            <w:r w:rsidR="002943D2">
              <w:rPr>
                <w:rFonts w:eastAsia="Times New Roman" w:cs="Arial"/>
                <w:color w:val="000000"/>
                <w:sz w:val="20"/>
                <w:szCs w:val="20"/>
                <w:lang w:eastAsia="de-CH"/>
              </w:rPr>
              <w:t>15</w:t>
            </w:r>
            <w:r w:rsidR="0086302E">
              <w:rPr>
                <w:rFonts w:eastAsia="Times New Roman" w:cs="Arial"/>
                <w:color w:val="000000"/>
                <w:sz w:val="20"/>
                <w:szCs w:val="20"/>
                <w:lang w:eastAsia="de-CH"/>
              </w:rPr>
              <w:t>0</w:t>
            </w:r>
            <w:r w:rsidRPr="00000D69">
              <w:rPr>
                <w:rFonts w:eastAsia="Times New Roman" w:cs="Arial"/>
                <w:color w:val="000000"/>
                <w:sz w:val="20"/>
                <w:szCs w:val="20"/>
                <w:lang w:eastAsia="de-CH"/>
              </w:rPr>
              <w:t>.</w:t>
            </w:r>
            <w:r>
              <w:rPr>
                <w:rFonts w:eastAsia="Times New Roman" w:cs="Arial"/>
                <w:color w:val="000000"/>
                <w:sz w:val="20"/>
                <w:szCs w:val="20"/>
                <w:lang w:eastAsia="de-CH"/>
              </w:rPr>
              <w:t>–</w:t>
            </w:r>
          </w:p>
        </w:tc>
      </w:tr>
      <w:tr w:rsidR="0076368D" w:rsidRPr="00000D69" w14:paraId="6FBD7CB8" w14:textId="77777777" w:rsidTr="005851DB">
        <w:trPr>
          <w:trHeight w:val="280"/>
        </w:trPr>
        <w:tc>
          <w:tcPr>
            <w:tcW w:w="157" w:type="pct"/>
            <w:tcBorders>
              <w:top w:val="nil"/>
              <w:left w:val="nil"/>
              <w:bottom w:val="nil"/>
              <w:right w:val="nil"/>
            </w:tcBorders>
            <w:shd w:val="clear" w:color="auto" w:fill="auto"/>
            <w:noWrap/>
            <w:vAlign w:val="bottom"/>
            <w:hideMark/>
          </w:tcPr>
          <w:p w14:paraId="131B2398" w14:textId="77777777" w:rsidR="0076368D" w:rsidRPr="00D86F14" w:rsidRDefault="0076368D" w:rsidP="005851DB">
            <w:pPr>
              <w:tabs>
                <w:tab w:val="clear" w:pos="5103"/>
              </w:tabs>
              <w:spacing w:after="0"/>
              <w:jc w:val="right"/>
              <w:rPr>
                <w:rFonts w:eastAsia="Times New Roman" w:cs="Arial"/>
                <w:color w:val="000000"/>
                <w:sz w:val="20"/>
                <w:szCs w:val="20"/>
                <w:lang w:eastAsia="de-CH"/>
              </w:rPr>
            </w:pPr>
            <w:r w:rsidRPr="00D86F14">
              <w:rPr>
                <w:rFonts w:eastAsia="Times New Roman" w:cs="Arial"/>
                <w:color w:val="000000"/>
                <w:sz w:val="20"/>
                <w:szCs w:val="20"/>
                <w:lang w:eastAsia="de-CH"/>
              </w:rPr>
              <w:t>-</w:t>
            </w:r>
          </w:p>
        </w:tc>
        <w:tc>
          <w:tcPr>
            <w:tcW w:w="4141" w:type="pct"/>
            <w:tcBorders>
              <w:top w:val="nil"/>
              <w:left w:val="nil"/>
              <w:bottom w:val="nil"/>
              <w:right w:val="single" w:sz="12" w:space="0" w:color="auto"/>
            </w:tcBorders>
            <w:shd w:val="clear" w:color="auto" w:fill="auto"/>
            <w:noWrap/>
            <w:vAlign w:val="bottom"/>
            <w:hideMark/>
          </w:tcPr>
          <w:p w14:paraId="13314840" w14:textId="77777777" w:rsidR="0076368D" w:rsidRPr="00D86F14" w:rsidRDefault="0076368D" w:rsidP="005851DB">
            <w:pPr>
              <w:tabs>
                <w:tab w:val="clear" w:pos="5103"/>
              </w:tabs>
              <w:spacing w:after="0"/>
              <w:rPr>
                <w:rFonts w:eastAsia="Times New Roman" w:cs="Arial"/>
                <w:color w:val="000000"/>
                <w:sz w:val="20"/>
                <w:szCs w:val="20"/>
                <w:lang w:eastAsia="de-CH"/>
              </w:rPr>
            </w:pPr>
            <w:r w:rsidRPr="00D86F14">
              <w:rPr>
                <w:rFonts w:eastAsia="Times New Roman" w:cs="Arial"/>
                <w:color w:val="000000"/>
                <w:sz w:val="20"/>
                <w:szCs w:val="20"/>
                <w:lang w:eastAsia="de-CH"/>
              </w:rPr>
              <w:t>100 % SH-Grundbedarf</w:t>
            </w:r>
          </w:p>
        </w:tc>
        <w:tc>
          <w:tcPr>
            <w:tcW w:w="702" w:type="pct"/>
            <w:tcBorders>
              <w:top w:val="nil"/>
              <w:left w:val="single" w:sz="12" w:space="0" w:color="auto"/>
              <w:bottom w:val="nil"/>
              <w:right w:val="nil"/>
            </w:tcBorders>
            <w:shd w:val="clear" w:color="auto" w:fill="auto"/>
            <w:noWrap/>
            <w:vAlign w:val="bottom"/>
            <w:hideMark/>
          </w:tcPr>
          <w:p w14:paraId="64AD8468" w14:textId="5200FD7F" w:rsidR="0076368D" w:rsidRPr="00D86F14" w:rsidRDefault="0076368D" w:rsidP="00192DE9">
            <w:pPr>
              <w:tabs>
                <w:tab w:val="clear" w:pos="5103"/>
              </w:tabs>
              <w:spacing w:after="0"/>
              <w:jc w:val="right"/>
              <w:rPr>
                <w:rFonts w:eastAsia="Times New Roman" w:cs="Arial"/>
                <w:color w:val="000000"/>
                <w:sz w:val="20"/>
                <w:szCs w:val="20"/>
                <w:lang w:eastAsia="de-CH"/>
              </w:rPr>
            </w:pPr>
            <w:r w:rsidRPr="00D86F14">
              <w:rPr>
                <w:rFonts w:eastAsia="Times New Roman" w:cs="Arial"/>
                <w:color w:val="000000"/>
                <w:sz w:val="20"/>
                <w:szCs w:val="20"/>
                <w:lang w:eastAsia="de-CH"/>
              </w:rPr>
              <w:t>-</w:t>
            </w:r>
            <w:r w:rsidRPr="00000D69">
              <w:rPr>
                <w:rFonts w:eastAsia="Times New Roman" w:cs="Arial"/>
                <w:color w:val="000000"/>
                <w:sz w:val="20"/>
                <w:szCs w:val="20"/>
                <w:lang w:eastAsia="de-CH"/>
              </w:rPr>
              <w:t xml:space="preserve"> </w:t>
            </w:r>
            <w:r w:rsidR="00A54E6E" w:rsidRPr="00D86F14">
              <w:rPr>
                <w:rFonts w:eastAsia="Times New Roman" w:cs="Arial"/>
                <w:color w:val="000000"/>
                <w:sz w:val="20"/>
                <w:szCs w:val="20"/>
                <w:lang w:eastAsia="de-CH"/>
              </w:rPr>
              <w:t>18</w:t>
            </w:r>
            <w:r w:rsidR="00A54E6E" w:rsidRPr="00000D69">
              <w:rPr>
                <w:rFonts w:eastAsia="Times New Roman" w:cs="Arial"/>
                <w:color w:val="000000"/>
                <w:sz w:val="20"/>
                <w:szCs w:val="20"/>
                <w:lang w:eastAsia="de-CH"/>
              </w:rPr>
              <w:t>'</w:t>
            </w:r>
            <w:r w:rsidR="00A54E6E">
              <w:rPr>
                <w:rFonts w:eastAsia="Times New Roman" w:cs="Arial"/>
                <w:color w:val="000000"/>
                <w:sz w:val="20"/>
                <w:szCs w:val="20"/>
                <w:lang w:eastAsia="de-CH"/>
              </w:rPr>
              <w:t>924</w:t>
            </w:r>
            <w:r w:rsidRPr="00000D69">
              <w:rPr>
                <w:rFonts w:eastAsia="Times New Roman" w:cs="Arial"/>
                <w:color w:val="000000"/>
                <w:sz w:val="20"/>
                <w:szCs w:val="20"/>
                <w:lang w:eastAsia="de-CH"/>
              </w:rPr>
              <w:t>.</w:t>
            </w:r>
            <w:r>
              <w:rPr>
                <w:rFonts w:eastAsia="Times New Roman" w:cs="Arial"/>
                <w:color w:val="000000"/>
                <w:sz w:val="20"/>
                <w:szCs w:val="20"/>
                <w:lang w:eastAsia="de-CH"/>
              </w:rPr>
              <w:t>–</w:t>
            </w:r>
          </w:p>
        </w:tc>
      </w:tr>
      <w:tr w:rsidR="0076368D" w:rsidRPr="00000D69" w14:paraId="5327DB03" w14:textId="77777777" w:rsidTr="005851DB">
        <w:trPr>
          <w:trHeight w:val="255"/>
        </w:trPr>
        <w:tc>
          <w:tcPr>
            <w:tcW w:w="157" w:type="pct"/>
            <w:tcBorders>
              <w:top w:val="nil"/>
              <w:left w:val="nil"/>
              <w:bottom w:val="nil"/>
              <w:right w:val="nil"/>
            </w:tcBorders>
            <w:shd w:val="clear" w:color="auto" w:fill="auto"/>
            <w:noWrap/>
            <w:vAlign w:val="bottom"/>
            <w:hideMark/>
          </w:tcPr>
          <w:p w14:paraId="5366911C" w14:textId="77777777" w:rsidR="0076368D" w:rsidRPr="00D86F14" w:rsidRDefault="0076368D" w:rsidP="005851DB">
            <w:pPr>
              <w:tabs>
                <w:tab w:val="clear" w:pos="5103"/>
              </w:tabs>
              <w:spacing w:after="0"/>
              <w:jc w:val="right"/>
              <w:rPr>
                <w:rFonts w:eastAsia="Times New Roman" w:cs="Arial"/>
                <w:color w:val="000000"/>
                <w:sz w:val="20"/>
                <w:szCs w:val="20"/>
                <w:lang w:eastAsia="de-CH"/>
              </w:rPr>
            </w:pPr>
            <w:r w:rsidRPr="00D86F14">
              <w:rPr>
                <w:rFonts w:eastAsia="Times New Roman" w:cs="Arial"/>
                <w:color w:val="000000"/>
                <w:sz w:val="20"/>
                <w:szCs w:val="20"/>
                <w:lang w:eastAsia="de-CH"/>
              </w:rPr>
              <w:t>-</w:t>
            </w:r>
          </w:p>
        </w:tc>
        <w:tc>
          <w:tcPr>
            <w:tcW w:w="4141" w:type="pct"/>
            <w:vMerge w:val="restart"/>
            <w:tcBorders>
              <w:top w:val="nil"/>
              <w:left w:val="nil"/>
              <w:right w:val="single" w:sz="12" w:space="0" w:color="auto"/>
            </w:tcBorders>
            <w:shd w:val="clear" w:color="auto" w:fill="auto"/>
            <w:vAlign w:val="bottom"/>
            <w:hideMark/>
          </w:tcPr>
          <w:p w14:paraId="20D9B92A" w14:textId="77777777" w:rsidR="0076368D" w:rsidRPr="00D86F14" w:rsidRDefault="0076368D" w:rsidP="005851DB">
            <w:pPr>
              <w:tabs>
                <w:tab w:val="clear" w:pos="5103"/>
              </w:tabs>
              <w:spacing w:after="0"/>
              <w:rPr>
                <w:rFonts w:eastAsia="Times New Roman" w:cs="Arial"/>
                <w:color w:val="000000"/>
                <w:sz w:val="20"/>
                <w:szCs w:val="20"/>
                <w:lang w:eastAsia="de-CH"/>
              </w:rPr>
            </w:pPr>
            <w:r w:rsidRPr="00D86F14">
              <w:rPr>
                <w:rFonts w:eastAsia="Times New Roman" w:cs="Arial"/>
                <w:color w:val="000000"/>
                <w:sz w:val="20"/>
                <w:szCs w:val="20"/>
                <w:lang w:eastAsia="de-CH"/>
              </w:rPr>
              <w:t>effektive Prämien der obligatorischen Krankenpflegeversicherung bis maximal die regionalen Durchschnittsprämien</w:t>
            </w:r>
          </w:p>
        </w:tc>
        <w:tc>
          <w:tcPr>
            <w:tcW w:w="702" w:type="pct"/>
            <w:vMerge w:val="restart"/>
            <w:tcBorders>
              <w:top w:val="nil"/>
              <w:left w:val="single" w:sz="12" w:space="0" w:color="auto"/>
              <w:right w:val="nil"/>
            </w:tcBorders>
            <w:shd w:val="clear" w:color="auto" w:fill="auto"/>
            <w:noWrap/>
            <w:vAlign w:val="bottom"/>
            <w:hideMark/>
          </w:tcPr>
          <w:p w14:paraId="5BA13980" w14:textId="21A7285C" w:rsidR="0076368D" w:rsidRPr="00D86F14" w:rsidRDefault="0076368D" w:rsidP="002D5C33">
            <w:pPr>
              <w:tabs>
                <w:tab w:val="clear" w:pos="5103"/>
              </w:tabs>
              <w:spacing w:after="0"/>
              <w:jc w:val="right"/>
              <w:rPr>
                <w:rFonts w:eastAsia="Times New Roman" w:cs="Arial"/>
                <w:color w:val="000000"/>
                <w:sz w:val="20"/>
                <w:szCs w:val="20"/>
                <w:lang w:eastAsia="de-CH"/>
              </w:rPr>
            </w:pPr>
            <w:r w:rsidRPr="00D86F14">
              <w:rPr>
                <w:rFonts w:eastAsia="Times New Roman" w:cs="Arial"/>
                <w:color w:val="000000"/>
                <w:sz w:val="20"/>
                <w:szCs w:val="20"/>
                <w:lang w:eastAsia="de-CH"/>
              </w:rPr>
              <w:t>-</w:t>
            </w:r>
            <w:r w:rsidRPr="00000D69">
              <w:rPr>
                <w:rFonts w:eastAsia="Times New Roman" w:cs="Arial"/>
                <w:color w:val="000000"/>
                <w:sz w:val="20"/>
                <w:szCs w:val="20"/>
                <w:lang w:eastAsia="de-CH"/>
              </w:rPr>
              <w:t xml:space="preserve"> </w:t>
            </w:r>
            <w:r w:rsidR="00037F83">
              <w:rPr>
                <w:rFonts w:eastAsia="Times New Roman" w:cs="Arial"/>
                <w:color w:val="000000"/>
                <w:sz w:val="20"/>
                <w:szCs w:val="20"/>
                <w:lang w:eastAsia="de-CH"/>
              </w:rPr>
              <w:t>5’</w:t>
            </w:r>
            <w:r w:rsidR="002D5C33">
              <w:rPr>
                <w:rFonts w:eastAsia="Times New Roman" w:cs="Arial"/>
                <w:color w:val="000000"/>
                <w:sz w:val="20"/>
                <w:szCs w:val="20"/>
                <w:lang w:eastAsia="de-CH"/>
              </w:rPr>
              <w:t>977</w:t>
            </w:r>
            <w:r w:rsidRPr="00000D69">
              <w:rPr>
                <w:rFonts w:eastAsia="Times New Roman" w:cs="Arial"/>
                <w:color w:val="000000"/>
                <w:sz w:val="20"/>
                <w:szCs w:val="20"/>
                <w:lang w:eastAsia="de-CH"/>
              </w:rPr>
              <w:t>.</w:t>
            </w:r>
            <w:r>
              <w:rPr>
                <w:rFonts w:eastAsia="Times New Roman" w:cs="Arial"/>
                <w:color w:val="000000"/>
                <w:sz w:val="20"/>
                <w:szCs w:val="20"/>
                <w:lang w:eastAsia="de-CH"/>
              </w:rPr>
              <w:t>–</w:t>
            </w:r>
          </w:p>
        </w:tc>
      </w:tr>
      <w:tr w:rsidR="0076368D" w:rsidRPr="00000D69" w14:paraId="402109DA" w14:textId="77777777" w:rsidTr="005851DB">
        <w:trPr>
          <w:trHeight w:val="255"/>
        </w:trPr>
        <w:tc>
          <w:tcPr>
            <w:tcW w:w="157" w:type="pct"/>
            <w:tcBorders>
              <w:top w:val="nil"/>
              <w:left w:val="nil"/>
              <w:bottom w:val="nil"/>
              <w:right w:val="nil"/>
            </w:tcBorders>
            <w:shd w:val="clear" w:color="auto" w:fill="auto"/>
            <w:noWrap/>
            <w:vAlign w:val="bottom"/>
          </w:tcPr>
          <w:p w14:paraId="3B09D111" w14:textId="77777777" w:rsidR="0076368D" w:rsidRPr="00000D69" w:rsidRDefault="0076368D" w:rsidP="005851DB">
            <w:pPr>
              <w:tabs>
                <w:tab w:val="clear" w:pos="5103"/>
              </w:tabs>
              <w:spacing w:after="0"/>
              <w:jc w:val="right"/>
              <w:rPr>
                <w:rFonts w:eastAsia="Times New Roman" w:cs="Arial"/>
                <w:color w:val="000000"/>
                <w:sz w:val="20"/>
                <w:szCs w:val="20"/>
                <w:lang w:eastAsia="de-CH"/>
              </w:rPr>
            </w:pPr>
          </w:p>
        </w:tc>
        <w:tc>
          <w:tcPr>
            <w:tcW w:w="4141" w:type="pct"/>
            <w:vMerge/>
            <w:tcBorders>
              <w:left w:val="nil"/>
              <w:bottom w:val="nil"/>
              <w:right w:val="single" w:sz="12" w:space="0" w:color="auto"/>
            </w:tcBorders>
            <w:shd w:val="clear" w:color="auto" w:fill="auto"/>
            <w:vAlign w:val="bottom"/>
          </w:tcPr>
          <w:p w14:paraId="02A63DE4" w14:textId="77777777" w:rsidR="0076368D" w:rsidRPr="00000D69" w:rsidRDefault="0076368D" w:rsidP="005851DB">
            <w:pPr>
              <w:tabs>
                <w:tab w:val="clear" w:pos="5103"/>
              </w:tabs>
              <w:spacing w:after="0"/>
              <w:rPr>
                <w:rFonts w:eastAsia="Times New Roman" w:cs="Arial"/>
                <w:color w:val="000000"/>
                <w:sz w:val="20"/>
                <w:szCs w:val="20"/>
                <w:lang w:eastAsia="de-CH"/>
              </w:rPr>
            </w:pPr>
          </w:p>
        </w:tc>
        <w:tc>
          <w:tcPr>
            <w:tcW w:w="702" w:type="pct"/>
            <w:vMerge/>
            <w:tcBorders>
              <w:left w:val="single" w:sz="12" w:space="0" w:color="auto"/>
              <w:bottom w:val="nil"/>
              <w:right w:val="nil"/>
            </w:tcBorders>
            <w:shd w:val="clear" w:color="auto" w:fill="auto"/>
            <w:noWrap/>
            <w:vAlign w:val="bottom"/>
          </w:tcPr>
          <w:p w14:paraId="3EA0F698" w14:textId="77777777" w:rsidR="0076368D" w:rsidRPr="00000D69" w:rsidRDefault="0076368D" w:rsidP="005851DB">
            <w:pPr>
              <w:tabs>
                <w:tab w:val="clear" w:pos="5103"/>
              </w:tabs>
              <w:spacing w:after="0"/>
              <w:jc w:val="right"/>
              <w:rPr>
                <w:rFonts w:eastAsia="Times New Roman" w:cs="Arial"/>
                <w:color w:val="000000"/>
                <w:sz w:val="20"/>
                <w:szCs w:val="20"/>
                <w:lang w:eastAsia="de-CH"/>
              </w:rPr>
            </w:pPr>
          </w:p>
        </w:tc>
      </w:tr>
      <w:tr w:rsidR="0076368D" w:rsidRPr="00000D69" w14:paraId="4240E654" w14:textId="77777777" w:rsidTr="005851DB">
        <w:trPr>
          <w:trHeight w:val="280"/>
        </w:trPr>
        <w:tc>
          <w:tcPr>
            <w:tcW w:w="157" w:type="pct"/>
            <w:tcBorders>
              <w:top w:val="nil"/>
              <w:left w:val="nil"/>
              <w:bottom w:val="nil"/>
              <w:right w:val="nil"/>
            </w:tcBorders>
            <w:shd w:val="clear" w:color="auto" w:fill="auto"/>
            <w:noWrap/>
            <w:vAlign w:val="bottom"/>
            <w:hideMark/>
          </w:tcPr>
          <w:p w14:paraId="4E83B880" w14:textId="77777777" w:rsidR="0076368D" w:rsidRPr="00D86F14" w:rsidRDefault="0076368D" w:rsidP="005851DB">
            <w:pPr>
              <w:tabs>
                <w:tab w:val="clear" w:pos="5103"/>
              </w:tabs>
              <w:spacing w:after="0"/>
              <w:jc w:val="right"/>
              <w:rPr>
                <w:rFonts w:eastAsia="Times New Roman" w:cs="Arial"/>
                <w:color w:val="000000"/>
                <w:sz w:val="20"/>
                <w:szCs w:val="20"/>
                <w:lang w:eastAsia="de-CH"/>
              </w:rPr>
            </w:pPr>
            <w:r w:rsidRPr="00D86F14">
              <w:rPr>
                <w:rFonts w:eastAsia="Times New Roman" w:cs="Arial"/>
                <w:color w:val="000000"/>
                <w:sz w:val="20"/>
                <w:szCs w:val="20"/>
                <w:lang w:eastAsia="de-CH"/>
              </w:rPr>
              <w:t>-</w:t>
            </w:r>
          </w:p>
        </w:tc>
        <w:tc>
          <w:tcPr>
            <w:tcW w:w="4141" w:type="pct"/>
            <w:tcBorders>
              <w:top w:val="nil"/>
              <w:left w:val="nil"/>
              <w:bottom w:val="nil"/>
              <w:right w:val="single" w:sz="12" w:space="0" w:color="auto"/>
            </w:tcBorders>
            <w:shd w:val="clear" w:color="auto" w:fill="auto"/>
            <w:noWrap/>
            <w:vAlign w:val="bottom"/>
            <w:hideMark/>
          </w:tcPr>
          <w:p w14:paraId="2E49EB34" w14:textId="77777777" w:rsidR="0076368D" w:rsidRPr="00D86F14" w:rsidRDefault="0076368D" w:rsidP="005851DB">
            <w:pPr>
              <w:tabs>
                <w:tab w:val="clear" w:pos="5103"/>
              </w:tabs>
              <w:spacing w:after="0"/>
              <w:rPr>
                <w:rFonts w:eastAsia="Times New Roman" w:cs="Arial"/>
                <w:color w:val="000000"/>
                <w:sz w:val="20"/>
                <w:szCs w:val="20"/>
                <w:lang w:eastAsia="de-CH"/>
              </w:rPr>
            </w:pPr>
            <w:r w:rsidRPr="00D86F14">
              <w:rPr>
                <w:rFonts w:eastAsia="Times New Roman" w:cs="Arial"/>
                <w:color w:val="000000"/>
                <w:sz w:val="20"/>
                <w:szCs w:val="20"/>
                <w:lang w:eastAsia="de-CH"/>
              </w:rPr>
              <w:t>effektive Kosten für familienergänzende Kinderbetreuung</w:t>
            </w:r>
          </w:p>
        </w:tc>
        <w:tc>
          <w:tcPr>
            <w:tcW w:w="702" w:type="pct"/>
            <w:tcBorders>
              <w:top w:val="nil"/>
              <w:left w:val="single" w:sz="12" w:space="0" w:color="auto"/>
              <w:bottom w:val="nil"/>
              <w:right w:val="nil"/>
            </w:tcBorders>
            <w:shd w:val="clear" w:color="auto" w:fill="auto"/>
            <w:noWrap/>
            <w:vAlign w:val="bottom"/>
            <w:hideMark/>
          </w:tcPr>
          <w:p w14:paraId="64D10886" w14:textId="77777777" w:rsidR="0076368D" w:rsidRPr="00D86F14" w:rsidRDefault="0076368D" w:rsidP="005851DB">
            <w:pPr>
              <w:tabs>
                <w:tab w:val="clear" w:pos="5103"/>
              </w:tabs>
              <w:spacing w:after="0"/>
              <w:jc w:val="right"/>
              <w:rPr>
                <w:rFonts w:eastAsia="Times New Roman" w:cs="Arial"/>
                <w:color w:val="000000"/>
                <w:sz w:val="20"/>
                <w:szCs w:val="20"/>
                <w:lang w:eastAsia="de-CH"/>
              </w:rPr>
            </w:pPr>
            <w:r w:rsidRPr="00D86F14">
              <w:rPr>
                <w:rFonts w:eastAsia="Times New Roman" w:cs="Arial"/>
                <w:color w:val="000000"/>
                <w:sz w:val="20"/>
                <w:szCs w:val="20"/>
                <w:lang w:eastAsia="de-CH"/>
              </w:rPr>
              <w:t>-</w:t>
            </w:r>
            <w:r w:rsidRPr="00000D69">
              <w:rPr>
                <w:rFonts w:eastAsia="Times New Roman" w:cs="Arial"/>
                <w:color w:val="000000"/>
                <w:sz w:val="20"/>
                <w:szCs w:val="20"/>
                <w:lang w:eastAsia="de-CH"/>
              </w:rPr>
              <w:t xml:space="preserve"> </w:t>
            </w:r>
            <w:r w:rsidRPr="00D86F14">
              <w:rPr>
                <w:rFonts w:eastAsia="Times New Roman" w:cs="Arial"/>
                <w:color w:val="000000"/>
                <w:sz w:val="20"/>
                <w:szCs w:val="20"/>
                <w:lang w:eastAsia="de-CH"/>
              </w:rPr>
              <w:t>4</w:t>
            </w:r>
            <w:r w:rsidRPr="00000D69">
              <w:rPr>
                <w:rFonts w:eastAsia="Times New Roman" w:cs="Arial"/>
                <w:color w:val="000000"/>
                <w:sz w:val="20"/>
                <w:szCs w:val="20"/>
                <w:lang w:eastAsia="de-CH"/>
              </w:rPr>
              <w:t>'</w:t>
            </w:r>
            <w:r w:rsidRPr="00D86F14">
              <w:rPr>
                <w:rFonts w:eastAsia="Times New Roman" w:cs="Arial"/>
                <w:color w:val="000000"/>
                <w:sz w:val="20"/>
                <w:szCs w:val="20"/>
                <w:lang w:eastAsia="de-CH"/>
              </w:rPr>
              <w:t>000</w:t>
            </w:r>
            <w:r w:rsidRPr="00000D69">
              <w:rPr>
                <w:rFonts w:eastAsia="Times New Roman" w:cs="Arial"/>
                <w:color w:val="000000"/>
                <w:sz w:val="20"/>
                <w:szCs w:val="20"/>
                <w:lang w:eastAsia="de-CH"/>
              </w:rPr>
              <w:t>.</w:t>
            </w:r>
            <w:r>
              <w:rPr>
                <w:rFonts w:eastAsia="Times New Roman" w:cs="Arial"/>
                <w:color w:val="000000"/>
                <w:sz w:val="20"/>
                <w:szCs w:val="20"/>
                <w:lang w:eastAsia="de-CH"/>
              </w:rPr>
              <w:t>–</w:t>
            </w:r>
          </w:p>
        </w:tc>
      </w:tr>
      <w:tr w:rsidR="0076368D" w:rsidRPr="00000D69" w14:paraId="4F447723" w14:textId="77777777" w:rsidTr="005851DB">
        <w:trPr>
          <w:trHeight w:val="280"/>
        </w:trPr>
        <w:tc>
          <w:tcPr>
            <w:tcW w:w="157" w:type="pct"/>
            <w:tcBorders>
              <w:top w:val="nil"/>
              <w:left w:val="nil"/>
              <w:bottom w:val="nil"/>
              <w:right w:val="nil"/>
            </w:tcBorders>
            <w:shd w:val="clear" w:color="auto" w:fill="auto"/>
            <w:noWrap/>
            <w:vAlign w:val="bottom"/>
            <w:hideMark/>
          </w:tcPr>
          <w:p w14:paraId="4ED102B3" w14:textId="77777777" w:rsidR="0076368D" w:rsidRPr="00D86F14" w:rsidRDefault="0076368D" w:rsidP="005851DB">
            <w:pPr>
              <w:tabs>
                <w:tab w:val="clear" w:pos="5103"/>
              </w:tabs>
              <w:spacing w:after="0"/>
              <w:jc w:val="right"/>
              <w:rPr>
                <w:rFonts w:eastAsia="Times New Roman" w:cs="Arial"/>
                <w:color w:val="000000"/>
                <w:sz w:val="20"/>
                <w:szCs w:val="20"/>
                <w:lang w:eastAsia="de-CH"/>
              </w:rPr>
            </w:pPr>
            <w:r w:rsidRPr="00D86F14">
              <w:rPr>
                <w:rFonts w:eastAsia="Times New Roman" w:cs="Arial"/>
                <w:color w:val="000000"/>
                <w:sz w:val="20"/>
                <w:szCs w:val="20"/>
                <w:lang w:eastAsia="de-CH"/>
              </w:rPr>
              <w:t>-</w:t>
            </w:r>
          </w:p>
        </w:tc>
        <w:tc>
          <w:tcPr>
            <w:tcW w:w="4141" w:type="pct"/>
            <w:tcBorders>
              <w:top w:val="nil"/>
              <w:left w:val="nil"/>
              <w:bottom w:val="nil"/>
              <w:right w:val="single" w:sz="12" w:space="0" w:color="auto"/>
            </w:tcBorders>
            <w:shd w:val="clear" w:color="auto" w:fill="auto"/>
            <w:noWrap/>
            <w:vAlign w:val="bottom"/>
            <w:hideMark/>
          </w:tcPr>
          <w:p w14:paraId="4361733B" w14:textId="77777777" w:rsidR="0076368D" w:rsidRPr="00D86F14" w:rsidRDefault="0076368D" w:rsidP="005851DB">
            <w:pPr>
              <w:tabs>
                <w:tab w:val="clear" w:pos="5103"/>
              </w:tabs>
              <w:spacing w:after="0"/>
              <w:rPr>
                <w:rFonts w:eastAsia="Times New Roman" w:cs="Arial"/>
                <w:color w:val="000000"/>
                <w:sz w:val="20"/>
                <w:szCs w:val="20"/>
                <w:lang w:eastAsia="de-CH"/>
              </w:rPr>
            </w:pPr>
            <w:r w:rsidRPr="00D86F14">
              <w:rPr>
                <w:rFonts w:eastAsia="Times New Roman" w:cs="Arial"/>
                <w:color w:val="000000"/>
                <w:sz w:val="20"/>
                <w:szCs w:val="20"/>
                <w:lang w:eastAsia="de-CH"/>
              </w:rPr>
              <w:t>AHV-Beiträge für nicht erwerbstätige Personen</w:t>
            </w:r>
          </w:p>
        </w:tc>
        <w:tc>
          <w:tcPr>
            <w:tcW w:w="702" w:type="pct"/>
            <w:tcBorders>
              <w:top w:val="nil"/>
              <w:left w:val="single" w:sz="12" w:space="0" w:color="auto"/>
              <w:bottom w:val="nil"/>
              <w:right w:val="nil"/>
            </w:tcBorders>
            <w:shd w:val="clear" w:color="auto" w:fill="auto"/>
            <w:noWrap/>
            <w:vAlign w:val="bottom"/>
            <w:hideMark/>
          </w:tcPr>
          <w:p w14:paraId="0C8E6EFC" w14:textId="77777777" w:rsidR="0076368D" w:rsidRPr="00D86F14" w:rsidRDefault="0076368D" w:rsidP="005851DB">
            <w:pPr>
              <w:tabs>
                <w:tab w:val="clear" w:pos="5103"/>
              </w:tabs>
              <w:spacing w:after="0"/>
              <w:rPr>
                <w:rFonts w:eastAsia="Times New Roman" w:cs="Arial"/>
                <w:color w:val="000000"/>
                <w:sz w:val="20"/>
                <w:szCs w:val="20"/>
                <w:lang w:eastAsia="de-CH"/>
              </w:rPr>
            </w:pPr>
            <w:r w:rsidRPr="00D86F14">
              <w:rPr>
                <w:rFonts w:eastAsia="Times New Roman" w:cs="Arial"/>
                <w:color w:val="000000"/>
                <w:sz w:val="20"/>
                <w:szCs w:val="20"/>
                <w:lang w:eastAsia="de-CH"/>
              </w:rPr>
              <w:t> </w:t>
            </w:r>
          </w:p>
        </w:tc>
      </w:tr>
      <w:tr w:rsidR="0076368D" w:rsidRPr="00000D69" w14:paraId="11A04D6A" w14:textId="77777777" w:rsidTr="005851DB">
        <w:trPr>
          <w:trHeight w:val="280"/>
        </w:trPr>
        <w:tc>
          <w:tcPr>
            <w:tcW w:w="157" w:type="pct"/>
            <w:tcBorders>
              <w:top w:val="nil"/>
              <w:left w:val="nil"/>
              <w:bottom w:val="nil"/>
              <w:right w:val="nil"/>
            </w:tcBorders>
            <w:shd w:val="clear" w:color="auto" w:fill="auto"/>
            <w:noWrap/>
            <w:vAlign w:val="bottom"/>
            <w:hideMark/>
          </w:tcPr>
          <w:p w14:paraId="109B5F65" w14:textId="77777777" w:rsidR="0076368D" w:rsidRPr="00D86F14" w:rsidRDefault="0076368D" w:rsidP="005851DB">
            <w:pPr>
              <w:tabs>
                <w:tab w:val="clear" w:pos="5103"/>
              </w:tabs>
              <w:spacing w:after="0"/>
              <w:jc w:val="right"/>
              <w:rPr>
                <w:rFonts w:eastAsia="Times New Roman" w:cs="Arial"/>
                <w:color w:val="000000"/>
                <w:sz w:val="20"/>
                <w:szCs w:val="20"/>
                <w:lang w:eastAsia="de-CH"/>
              </w:rPr>
            </w:pPr>
            <w:r w:rsidRPr="00D86F14">
              <w:rPr>
                <w:rFonts w:eastAsia="Times New Roman" w:cs="Arial"/>
                <w:color w:val="000000"/>
                <w:sz w:val="20"/>
                <w:szCs w:val="20"/>
                <w:lang w:eastAsia="de-CH"/>
              </w:rPr>
              <w:t>-</w:t>
            </w:r>
          </w:p>
        </w:tc>
        <w:tc>
          <w:tcPr>
            <w:tcW w:w="4141" w:type="pct"/>
            <w:tcBorders>
              <w:top w:val="nil"/>
              <w:left w:val="nil"/>
              <w:bottom w:val="single" w:sz="4" w:space="0" w:color="auto"/>
              <w:right w:val="single" w:sz="12" w:space="0" w:color="auto"/>
            </w:tcBorders>
            <w:shd w:val="clear" w:color="auto" w:fill="auto"/>
            <w:noWrap/>
            <w:vAlign w:val="bottom"/>
            <w:hideMark/>
          </w:tcPr>
          <w:p w14:paraId="33A76BD3" w14:textId="77777777" w:rsidR="0076368D" w:rsidRPr="00D86F14" w:rsidRDefault="0076368D" w:rsidP="005851DB">
            <w:pPr>
              <w:tabs>
                <w:tab w:val="clear" w:pos="5103"/>
              </w:tabs>
              <w:spacing w:after="0"/>
              <w:rPr>
                <w:rFonts w:eastAsia="Times New Roman" w:cs="Arial"/>
                <w:color w:val="000000"/>
                <w:sz w:val="20"/>
                <w:szCs w:val="20"/>
                <w:lang w:eastAsia="de-CH"/>
              </w:rPr>
            </w:pPr>
            <w:r w:rsidRPr="00D86F14">
              <w:rPr>
                <w:rFonts w:eastAsia="Times New Roman" w:cs="Arial"/>
                <w:color w:val="000000"/>
                <w:sz w:val="20"/>
                <w:szCs w:val="20"/>
                <w:lang w:eastAsia="de-CH"/>
              </w:rPr>
              <w:t>sonstige wiederkehrende Ausgaben</w:t>
            </w:r>
          </w:p>
        </w:tc>
        <w:tc>
          <w:tcPr>
            <w:tcW w:w="702" w:type="pct"/>
            <w:tcBorders>
              <w:top w:val="nil"/>
              <w:left w:val="single" w:sz="12" w:space="0" w:color="auto"/>
              <w:bottom w:val="single" w:sz="4" w:space="0" w:color="auto"/>
              <w:right w:val="nil"/>
            </w:tcBorders>
            <w:shd w:val="clear" w:color="auto" w:fill="auto"/>
            <w:noWrap/>
            <w:vAlign w:val="bottom"/>
            <w:hideMark/>
          </w:tcPr>
          <w:p w14:paraId="38E05817" w14:textId="77777777" w:rsidR="0076368D" w:rsidRPr="00D86F14" w:rsidRDefault="0076368D" w:rsidP="005851DB">
            <w:pPr>
              <w:tabs>
                <w:tab w:val="clear" w:pos="5103"/>
              </w:tabs>
              <w:spacing w:after="0"/>
              <w:rPr>
                <w:rFonts w:eastAsia="Times New Roman" w:cs="Arial"/>
                <w:color w:val="000000"/>
                <w:sz w:val="20"/>
                <w:szCs w:val="20"/>
                <w:lang w:eastAsia="de-CH"/>
              </w:rPr>
            </w:pPr>
            <w:r w:rsidRPr="00D86F14">
              <w:rPr>
                <w:rFonts w:eastAsia="Times New Roman" w:cs="Arial"/>
                <w:color w:val="000000"/>
                <w:sz w:val="20"/>
                <w:szCs w:val="20"/>
                <w:lang w:eastAsia="de-CH"/>
              </w:rPr>
              <w:t> </w:t>
            </w:r>
          </w:p>
        </w:tc>
      </w:tr>
      <w:tr w:rsidR="0076368D" w:rsidRPr="00000D69" w14:paraId="7E2393E7" w14:textId="77777777" w:rsidTr="005851DB">
        <w:trPr>
          <w:trHeight w:val="280"/>
        </w:trPr>
        <w:tc>
          <w:tcPr>
            <w:tcW w:w="157" w:type="pct"/>
            <w:tcBorders>
              <w:top w:val="nil"/>
              <w:left w:val="nil"/>
              <w:bottom w:val="nil"/>
              <w:right w:val="nil"/>
            </w:tcBorders>
            <w:shd w:val="clear" w:color="auto" w:fill="auto"/>
            <w:noWrap/>
            <w:vAlign w:val="bottom"/>
            <w:hideMark/>
          </w:tcPr>
          <w:p w14:paraId="4DC693EE" w14:textId="77777777" w:rsidR="0076368D" w:rsidRPr="00D86F14" w:rsidRDefault="0076368D" w:rsidP="005851DB">
            <w:pPr>
              <w:tabs>
                <w:tab w:val="clear" w:pos="5103"/>
              </w:tabs>
              <w:spacing w:after="0"/>
              <w:jc w:val="right"/>
              <w:rPr>
                <w:rFonts w:eastAsia="Times New Roman" w:cs="Arial"/>
                <w:color w:val="000000"/>
                <w:sz w:val="20"/>
                <w:szCs w:val="20"/>
                <w:lang w:eastAsia="de-CH"/>
              </w:rPr>
            </w:pPr>
            <w:r w:rsidRPr="00D86F14">
              <w:rPr>
                <w:rFonts w:eastAsia="Times New Roman" w:cs="Arial"/>
                <w:color w:val="000000"/>
                <w:sz w:val="20"/>
                <w:szCs w:val="20"/>
                <w:lang w:eastAsia="de-CH"/>
              </w:rPr>
              <w:t>=</w:t>
            </w:r>
          </w:p>
        </w:tc>
        <w:tc>
          <w:tcPr>
            <w:tcW w:w="4141" w:type="pct"/>
            <w:tcBorders>
              <w:top w:val="nil"/>
              <w:left w:val="nil"/>
              <w:bottom w:val="nil"/>
              <w:right w:val="single" w:sz="12" w:space="0" w:color="auto"/>
            </w:tcBorders>
            <w:shd w:val="clear" w:color="auto" w:fill="auto"/>
            <w:noWrap/>
            <w:vAlign w:val="bottom"/>
            <w:hideMark/>
          </w:tcPr>
          <w:p w14:paraId="5625E2AF" w14:textId="77777777" w:rsidR="0076368D" w:rsidRPr="00D86F14" w:rsidRDefault="0076368D" w:rsidP="005851DB">
            <w:pPr>
              <w:tabs>
                <w:tab w:val="clear" w:pos="5103"/>
              </w:tabs>
              <w:spacing w:after="0"/>
              <w:rPr>
                <w:rFonts w:eastAsia="Times New Roman" w:cs="Arial"/>
                <w:color w:val="000000"/>
                <w:sz w:val="20"/>
                <w:szCs w:val="20"/>
                <w:lang w:eastAsia="de-CH"/>
              </w:rPr>
            </w:pPr>
            <w:r w:rsidRPr="00D86F14">
              <w:rPr>
                <w:rFonts w:eastAsia="Times New Roman" w:cs="Arial"/>
                <w:color w:val="000000"/>
                <w:sz w:val="20"/>
                <w:szCs w:val="20"/>
                <w:lang w:eastAsia="de-CH"/>
              </w:rPr>
              <w:t>Tragbares Mass der Mietzinsbelastung</w:t>
            </w:r>
          </w:p>
        </w:tc>
        <w:tc>
          <w:tcPr>
            <w:tcW w:w="702" w:type="pct"/>
            <w:tcBorders>
              <w:top w:val="nil"/>
              <w:left w:val="single" w:sz="12" w:space="0" w:color="auto"/>
              <w:bottom w:val="nil"/>
              <w:right w:val="nil"/>
            </w:tcBorders>
            <w:shd w:val="clear" w:color="auto" w:fill="auto"/>
            <w:noWrap/>
            <w:vAlign w:val="bottom"/>
            <w:hideMark/>
          </w:tcPr>
          <w:p w14:paraId="06762985" w14:textId="0467DAAB" w:rsidR="0076368D" w:rsidRPr="00D86F14" w:rsidRDefault="00741093" w:rsidP="002D5C33">
            <w:pPr>
              <w:tabs>
                <w:tab w:val="clear" w:pos="5103"/>
              </w:tabs>
              <w:spacing w:after="0"/>
              <w:jc w:val="right"/>
              <w:rPr>
                <w:rFonts w:eastAsia="Times New Roman" w:cs="Arial"/>
                <w:color w:val="000000"/>
                <w:sz w:val="20"/>
                <w:szCs w:val="20"/>
                <w:lang w:eastAsia="de-CH"/>
              </w:rPr>
            </w:pPr>
            <w:r>
              <w:rPr>
                <w:rFonts w:eastAsia="Times New Roman" w:cs="Arial"/>
                <w:color w:val="000000"/>
                <w:sz w:val="20"/>
                <w:szCs w:val="20"/>
                <w:lang w:eastAsia="de-CH"/>
              </w:rPr>
              <w:t>10’999</w:t>
            </w:r>
            <w:r w:rsidR="0076368D">
              <w:rPr>
                <w:rFonts w:eastAsia="Times New Roman" w:cs="Arial"/>
                <w:color w:val="000000"/>
                <w:sz w:val="20"/>
                <w:szCs w:val="20"/>
                <w:lang w:eastAsia="de-CH"/>
              </w:rPr>
              <w:t>.–</w:t>
            </w:r>
          </w:p>
        </w:tc>
      </w:tr>
      <w:tr w:rsidR="0076368D" w:rsidRPr="00000D69" w14:paraId="656ADFD7" w14:textId="77777777" w:rsidTr="005851DB">
        <w:trPr>
          <w:trHeight w:val="280"/>
        </w:trPr>
        <w:tc>
          <w:tcPr>
            <w:tcW w:w="157" w:type="pct"/>
            <w:tcBorders>
              <w:top w:val="nil"/>
              <w:left w:val="nil"/>
              <w:bottom w:val="nil"/>
              <w:right w:val="nil"/>
            </w:tcBorders>
            <w:shd w:val="clear" w:color="auto" w:fill="auto"/>
            <w:noWrap/>
            <w:vAlign w:val="bottom"/>
            <w:hideMark/>
          </w:tcPr>
          <w:p w14:paraId="35EDF4C9" w14:textId="77777777" w:rsidR="0076368D" w:rsidRPr="00D86F14" w:rsidRDefault="0076368D" w:rsidP="005851DB">
            <w:pPr>
              <w:tabs>
                <w:tab w:val="clear" w:pos="5103"/>
              </w:tabs>
              <w:spacing w:after="0"/>
              <w:jc w:val="right"/>
              <w:rPr>
                <w:rFonts w:eastAsia="Times New Roman" w:cs="Arial"/>
                <w:color w:val="000000"/>
                <w:sz w:val="20"/>
                <w:szCs w:val="20"/>
                <w:lang w:eastAsia="de-CH"/>
              </w:rPr>
            </w:pPr>
          </w:p>
        </w:tc>
        <w:tc>
          <w:tcPr>
            <w:tcW w:w="4141" w:type="pct"/>
            <w:tcBorders>
              <w:top w:val="nil"/>
              <w:left w:val="nil"/>
              <w:bottom w:val="nil"/>
              <w:right w:val="single" w:sz="12" w:space="0" w:color="auto"/>
            </w:tcBorders>
            <w:shd w:val="clear" w:color="auto" w:fill="auto"/>
            <w:noWrap/>
            <w:vAlign w:val="bottom"/>
            <w:hideMark/>
          </w:tcPr>
          <w:p w14:paraId="04D4A435" w14:textId="77777777" w:rsidR="0076368D" w:rsidRDefault="0076368D" w:rsidP="005851DB">
            <w:pPr>
              <w:tabs>
                <w:tab w:val="clear" w:pos="5103"/>
              </w:tabs>
              <w:spacing w:after="0"/>
              <w:jc w:val="right"/>
              <w:rPr>
                <w:rFonts w:eastAsia="Times New Roman" w:cs="Arial"/>
                <w:sz w:val="20"/>
                <w:szCs w:val="20"/>
                <w:lang w:eastAsia="de-CH"/>
              </w:rPr>
            </w:pPr>
          </w:p>
          <w:p w14:paraId="6CAC28EB" w14:textId="77777777" w:rsidR="0076368D" w:rsidRPr="00D86F14" w:rsidRDefault="0076368D" w:rsidP="005851DB">
            <w:pPr>
              <w:tabs>
                <w:tab w:val="clear" w:pos="5103"/>
              </w:tabs>
              <w:spacing w:after="0"/>
              <w:jc w:val="right"/>
              <w:rPr>
                <w:rFonts w:eastAsia="Times New Roman" w:cs="Arial"/>
                <w:sz w:val="20"/>
                <w:szCs w:val="20"/>
                <w:lang w:eastAsia="de-CH"/>
              </w:rPr>
            </w:pPr>
          </w:p>
        </w:tc>
        <w:tc>
          <w:tcPr>
            <w:tcW w:w="702" w:type="pct"/>
            <w:tcBorders>
              <w:top w:val="nil"/>
              <w:left w:val="single" w:sz="12" w:space="0" w:color="auto"/>
              <w:bottom w:val="nil"/>
              <w:right w:val="nil"/>
            </w:tcBorders>
            <w:shd w:val="clear" w:color="auto" w:fill="auto"/>
            <w:noWrap/>
            <w:vAlign w:val="bottom"/>
            <w:hideMark/>
          </w:tcPr>
          <w:p w14:paraId="23AAAAE5" w14:textId="77777777" w:rsidR="0076368D" w:rsidRPr="00D86F14" w:rsidRDefault="0076368D" w:rsidP="005851DB">
            <w:pPr>
              <w:tabs>
                <w:tab w:val="clear" w:pos="5103"/>
              </w:tabs>
              <w:spacing w:after="0"/>
              <w:rPr>
                <w:rFonts w:eastAsia="Times New Roman" w:cs="Arial"/>
                <w:color w:val="000000"/>
                <w:sz w:val="20"/>
                <w:szCs w:val="20"/>
                <w:lang w:eastAsia="de-CH"/>
              </w:rPr>
            </w:pPr>
            <w:r w:rsidRPr="00D86F14">
              <w:rPr>
                <w:rFonts w:eastAsia="Times New Roman" w:cs="Arial"/>
                <w:color w:val="000000"/>
                <w:sz w:val="20"/>
                <w:szCs w:val="20"/>
                <w:lang w:eastAsia="de-CH"/>
              </w:rPr>
              <w:t> </w:t>
            </w:r>
          </w:p>
        </w:tc>
      </w:tr>
      <w:tr w:rsidR="0076368D" w:rsidRPr="00000D69" w14:paraId="5392F912" w14:textId="77777777" w:rsidTr="005851DB">
        <w:trPr>
          <w:trHeight w:val="280"/>
        </w:trPr>
        <w:tc>
          <w:tcPr>
            <w:tcW w:w="4298" w:type="pct"/>
            <w:gridSpan w:val="2"/>
            <w:tcBorders>
              <w:top w:val="nil"/>
              <w:left w:val="nil"/>
              <w:bottom w:val="single" w:sz="12" w:space="0" w:color="auto"/>
              <w:right w:val="single" w:sz="12" w:space="0" w:color="auto"/>
            </w:tcBorders>
            <w:shd w:val="clear" w:color="auto" w:fill="auto"/>
            <w:noWrap/>
            <w:vAlign w:val="bottom"/>
            <w:hideMark/>
          </w:tcPr>
          <w:p w14:paraId="501A3457" w14:textId="77777777" w:rsidR="0076368D" w:rsidRPr="00D81A14" w:rsidRDefault="0076368D" w:rsidP="005851DB">
            <w:pPr>
              <w:tabs>
                <w:tab w:val="clear" w:pos="5103"/>
              </w:tabs>
              <w:spacing w:after="0"/>
              <w:rPr>
                <w:rFonts w:eastAsia="Times New Roman" w:cs="Arial"/>
                <w:b/>
                <w:color w:val="000000"/>
                <w:sz w:val="20"/>
                <w:szCs w:val="20"/>
                <w:lang w:eastAsia="de-CH"/>
              </w:rPr>
            </w:pPr>
            <w:r w:rsidRPr="00D81A14">
              <w:rPr>
                <w:rFonts w:eastAsia="Times New Roman" w:cs="Arial"/>
                <w:b/>
                <w:color w:val="000000"/>
                <w:sz w:val="20"/>
                <w:szCs w:val="20"/>
                <w:lang w:eastAsia="de-CH"/>
              </w:rPr>
              <w:t>Mietzinsbeitrag</w:t>
            </w:r>
          </w:p>
        </w:tc>
        <w:tc>
          <w:tcPr>
            <w:tcW w:w="702" w:type="pct"/>
            <w:tcBorders>
              <w:top w:val="nil"/>
              <w:left w:val="single" w:sz="12" w:space="0" w:color="auto"/>
              <w:bottom w:val="single" w:sz="12" w:space="0" w:color="auto"/>
              <w:right w:val="nil"/>
            </w:tcBorders>
            <w:shd w:val="clear" w:color="auto" w:fill="auto"/>
            <w:noWrap/>
            <w:vAlign w:val="bottom"/>
            <w:hideMark/>
          </w:tcPr>
          <w:p w14:paraId="1856C367" w14:textId="77777777" w:rsidR="0076368D" w:rsidRPr="00D86F14" w:rsidRDefault="0076368D" w:rsidP="005851DB">
            <w:pPr>
              <w:tabs>
                <w:tab w:val="clear" w:pos="5103"/>
              </w:tabs>
              <w:spacing w:after="0"/>
              <w:rPr>
                <w:rFonts w:eastAsia="Times New Roman" w:cs="Arial"/>
                <w:color w:val="000000"/>
                <w:sz w:val="20"/>
                <w:szCs w:val="20"/>
                <w:lang w:eastAsia="de-CH"/>
              </w:rPr>
            </w:pPr>
            <w:r w:rsidRPr="00D86F14">
              <w:rPr>
                <w:rFonts w:eastAsia="Times New Roman" w:cs="Arial"/>
                <w:color w:val="000000"/>
                <w:sz w:val="20"/>
                <w:szCs w:val="20"/>
                <w:lang w:eastAsia="de-CH"/>
              </w:rPr>
              <w:t> </w:t>
            </w:r>
          </w:p>
        </w:tc>
      </w:tr>
      <w:tr w:rsidR="0076368D" w:rsidRPr="00000D69" w14:paraId="5C143498" w14:textId="77777777" w:rsidTr="005851DB">
        <w:trPr>
          <w:trHeight w:val="280"/>
        </w:trPr>
        <w:tc>
          <w:tcPr>
            <w:tcW w:w="157" w:type="pct"/>
            <w:tcBorders>
              <w:top w:val="single" w:sz="12" w:space="0" w:color="auto"/>
              <w:left w:val="nil"/>
              <w:bottom w:val="nil"/>
              <w:right w:val="nil"/>
            </w:tcBorders>
            <w:shd w:val="clear" w:color="auto" w:fill="auto"/>
            <w:noWrap/>
            <w:vAlign w:val="bottom"/>
            <w:hideMark/>
          </w:tcPr>
          <w:p w14:paraId="4869F949" w14:textId="77777777" w:rsidR="0076368D" w:rsidRPr="00D86F14" w:rsidRDefault="0076368D" w:rsidP="005851DB">
            <w:pPr>
              <w:tabs>
                <w:tab w:val="clear" w:pos="5103"/>
              </w:tabs>
              <w:spacing w:after="0"/>
              <w:jc w:val="right"/>
              <w:rPr>
                <w:rFonts w:eastAsia="Times New Roman" w:cs="Arial"/>
                <w:color w:val="000000"/>
                <w:sz w:val="20"/>
                <w:szCs w:val="20"/>
                <w:lang w:eastAsia="de-CH"/>
              </w:rPr>
            </w:pPr>
          </w:p>
        </w:tc>
        <w:tc>
          <w:tcPr>
            <w:tcW w:w="4141" w:type="pct"/>
            <w:tcBorders>
              <w:top w:val="single" w:sz="12" w:space="0" w:color="auto"/>
              <w:left w:val="nil"/>
              <w:bottom w:val="nil"/>
              <w:right w:val="single" w:sz="12" w:space="0" w:color="auto"/>
            </w:tcBorders>
            <w:shd w:val="clear" w:color="auto" w:fill="auto"/>
            <w:noWrap/>
            <w:vAlign w:val="bottom"/>
            <w:hideMark/>
          </w:tcPr>
          <w:p w14:paraId="248D45E1" w14:textId="77777777" w:rsidR="0076368D" w:rsidRPr="00D86F14" w:rsidRDefault="0076368D" w:rsidP="005851DB">
            <w:pPr>
              <w:tabs>
                <w:tab w:val="clear" w:pos="5103"/>
              </w:tabs>
              <w:spacing w:after="0"/>
              <w:rPr>
                <w:rFonts w:eastAsia="Times New Roman" w:cs="Arial"/>
                <w:color w:val="000000"/>
                <w:sz w:val="20"/>
                <w:szCs w:val="20"/>
                <w:lang w:eastAsia="de-CH"/>
              </w:rPr>
            </w:pPr>
            <w:r w:rsidRPr="00D86F14">
              <w:rPr>
                <w:rFonts w:eastAsia="Times New Roman" w:cs="Arial"/>
                <w:color w:val="000000"/>
                <w:sz w:val="20"/>
                <w:szCs w:val="20"/>
                <w:lang w:eastAsia="de-CH"/>
              </w:rPr>
              <w:t>Jahresnettomiete</w:t>
            </w:r>
          </w:p>
        </w:tc>
        <w:tc>
          <w:tcPr>
            <w:tcW w:w="702" w:type="pct"/>
            <w:tcBorders>
              <w:top w:val="single" w:sz="12" w:space="0" w:color="auto"/>
              <w:left w:val="single" w:sz="12" w:space="0" w:color="auto"/>
              <w:bottom w:val="nil"/>
              <w:right w:val="nil"/>
            </w:tcBorders>
            <w:shd w:val="clear" w:color="auto" w:fill="auto"/>
            <w:noWrap/>
            <w:vAlign w:val="bottom"/>
            <w:hideMark/>
          </w:tcPr>
          <w:p w14:paraId="5ABE92D7" w14:textId="77777777" w:rsidR="0076368D" w:rsidRPr="00D86F14" w:rsidRDefault="0076368D" w:rsidP="005851DB">
            <w:pPr>
              <w:tabs>
                <w:tab w:val="clear" w:pos="5103"/>
              </w:tabs>
              <w:spacing w:after="0"/>
              <w:jc w:val="right"/>
              <w:rPr>
                <w:rFonts w:eastAsia="Times New Roman" w:cs="Arial"/>
                <w:color w:val="000000"/>
                <w:sz w:val="20"/>
                <w:szCs w:val="20"/>
                <w:lang w:eastAsia="de-CH"/>
              </w:rPr>
            </w:pPr>
            <w:r>
              <w:rPr>
                <w:rFonts w:eastAsia="Times New Roman" w:cs="Arial"/>
                <w:color w:val="000000"/>
                <w:sz w:val="20"/>
                <w:szCs w:val="20"/>
                <w:lang w:eastAsia="de-CH"/>
              </w:rPr>
              <w:t>16'560.–</w:t>
            </w:r>
          </w:p>
        </w:tc>
      </w:tr>
      <w:tr w:rsidR="0076368D" w:rsidRPr="00000D69" w14:paraId="0FF245AC" w14:textId="77777777" w:rsidTr="005851DB">
        <w:trPr>
          <w:trHeight w:val="280"/>
        </w:trPr>
        <w:tc>
          <w:tcPr>
            <w:tcW w:w="157" w:type="pct"/>
            <w:tcBorders>
              <w:top w:val="nil"/>
              <w:left w:val="nil"/>
              <w:right w:val="nil"/>
            </w:tcBorders>
            <w:shd w:val="clear" w:color="auto" w:fill="auto"/>
            <w:noWrap/>
            <w:vAlign w:val="bottom"/>
            <w:hideMark/>
          </w:tcPr>
          <w:p w14:paraId="0E329A0B" w14:textId="77777777" w:rsidR="0076368D" w:rsidRPr="00D86F14" w:rsidRDefault="0076368D" w:rsidP="005851DB">
            <w:pPr>
              <w:spacing w:after="0"/>
              <w:jc w:val="right"/>
              <w:rPr>
                <w:rFonts w:eastAsia="Times New Roman" w:cs="Arial"/>
                <w:color w:val="000000"/>
                <w:sz w:val="20"/>
                <w:szCs w:val="20"/>
                <w:lang w:eastAsia="de-CH"/>
              </w:rPr>
            </w:pPr>
            <w:r w:rsidRPr="00000D69">
              <w:rPr>
                <w:rFonts w:eastAsia="Times New Roman" w:cs="Arial"/>
                <w:color w:val="000000"/>
                <w:sz w:val="20"/>
                <w:szCs w:val="20"/>
                <w:lang w:eastAsia="de-CH"/>
              </w:rPr>
              <w:t>-</w:t>
            </w:r>
          </w:p>
        </w:tc>
        <w:tc>
          <w:tcPr>
            <w:tcW w:w="4141" w:type="pct"/>
            <w:tcBorders>
              <w:top w:val="nil"/>
              <w:left w:val="nil"/>
              <w:bottom w:val="single" w:sz="2" w:space="0" w:color="auto"/>
              <w:right w:val="single" w:sz="12" w:space="0" w:color="auto"/>
            </w:tcBorders>
            <w:shd w:val="clear" w:color="auto" w:fill="auto"/>
            <w:noWrap/>
            <w:vAlign w:val="bottom"/>
            <w:hideMark/>
          </w:tcPr>
          <w:p w14:paraId="464C3DE9" w14:textId="77777777" w:rsidR="0076368D" w:rsidRPr="00D86F14" w:rsidRDefault="0076368D" w:rsidP="005851DB">
            <w:pPr>
              <w:tabs>
                <w:tab w:val="clear" w:pos="5103"/>
              </w:tabs>
              <w:spacing w:after="0"/>
              <w:rPr>
                <w:rFonts w:eastAsia="Times New Roman" w:cs="Arial"/>
                <w:color w:val="000000"/>
                <w:sz w:val="20"/>
                <w:szCs w:val="20"/>
                <w:lang w:eastAsia="de-CH"/>
              </w:rPr>
            </w:pPr>
            <w:r w:rsidRPr="00D86F14">
              <w:rPr>
                <w:rFonts w:eastAsia="Times New Roman" w:cs="Arial"/>
                <w:color w:val="000000"/>
                <w:sz w:val="20"/>
                <w:szCs w:val="20"/>
                <w:lang w:eastAsia="de-CH"/>
              </w:rPr>
              <w:t>tragbares Mass der Mietzinsbelastung</w:t>
            </w:r>
          </w:p>
        </w:tc>
        <w:tc>
          <w:tcPr>
            <w:tcW w:w="702" w:type="pct"/>
            <w:tcBorders>
              <w:top w:val="nil"/>
              <w:left w:val="single" w:sz="12" w:space="0" w:color="auto"/>
              <w:bottom w:val="single" w:sz="2" w:space="0" w:color="auto"/>
              <w:right w:val="nil"/>
            </w:tcBorders>
            <w:shd w:val="clear" w:color="auto" w:fill="auto"/>
            <w:noWrap/>
            <w:vAlign w:val="bottom"/>
            <w:hideMark/>
          </w:tcPr>
          <w:p w14:paraId="75EFEA09" w14:textId="2025C55B" w:rsidR="0076368D" w:rsidRPr="00D86F14" w:rsidRDefault="0076368D" w:rsidP="00AE65A6">
            <w:pPr>
              <w:tabs>
                <w:tab w:val="clear" w:pos="5103"/>
              </w:tabs>
              <w:spacing w:after="0"/>
              <w:jc w:val="right"/>
              <w:rPr>
                <w:rFonts w:eastAsia="Times New Roman" w:cs="Arial"/>
                <w:color w:val="000000"/>
                <w:sz w:val="20"/>
                <w:szCs w:val="20"/>
                <w:lang w:eastAsia="de-CH"/>
              </w:rPr>
            </w:pPr>
            <w:r w:rsidRPr="00D86F14">
              <w:rPr>
                <w:rFonts w:eastAsia="Times New Roman" w:cs="Arial"/>
                <w:color w:val="000000"/>
                <w:sz w:val="20"/>
                <w:szCs w:val="20"/>
                <w:lang w:eastAsia="de-CH"/>
              </w:rPr>
              <w:t>-</w:t>
            </w:r>
            <w:r w:rsidRPr="00000D69">
              <w:rPr>
                <w:rFonts w:eastAsia="Times New Roman" w:cs="Arial"/>
                <w:color w:val="000000"/>
                <w:sz w:val="20"/>
                <w:szCs w:val="20"/>
                <w:lang w:eastAsia="de-CH"/>
              </w:rPr>
              <w:t xml:space="preserve"> </w:t>
            </w:r>
            <w:r w:rsidR="00741093">
              <w:rPr>
                <w:rFonts w:eastAsia="Times New Roman" w:cs="Arial"/>
                <w:color w:val="000000"/>
                <w:sz w:val="20"/>
                <w:szCs w:val="20"/>
                <w:lang w:eastAsia="de-CH"/>
              </w:rPr>
              <w:t>10</w:t>
            </w:r>
            <w:r w:rsidR="00910255">
              <w:rPr>
                <w:rFonts w:eastAsia="Times New Roman" w:cs="Arial"/>
                <w:color w:val="000000"/>
                <w:sz w:val="20"/>
                <w:szCs w:val="20"/>
                <w:lang w:eastAsia="de-CH"/>
              </w:rPr>
              <w:t>’</w:t>
            </w:r>
            <w:r w:rsidR="00741093">
              <w:rPr>
                <w:rFonts w:eastAsia="Times New Roman" w:cs="Arial"/>
                <w:color w:val="000000"/>
                <w:sz w:val="20"/>
                <w:szCs w:val="20"/>
                <w:lang w:eastAsia="de-CH"/>
              </w:rPr>
              <w:t>999</w:t>
            </w:r>
            <w:r w:rsidRPr="00000D69">
              <w:rPr>
                <w:rFonts w:eastAsia="Times New Roman" w:cs="Arial"/>
                <w:color w:val="000000"/>
                <w:sz w:val="20"/>
                <w:szCs w:val="20"/>
                <w:lang w:eastAsia="de-CH"/>
              </w:rPr>
              <w:t>.</w:t>
            </w:r>
            <w:r>
              <w:rPr>
                <w:rFonts w:eastAsia="Times New Roman" w:cs="Arial"/>
                <w:color w:val="000000"/>
                <w:sz w:val="20"/>
                <w:szCs w:val="20"/>
                <w:lang w:eastAsia="de-CH"/>
              </w:rPr>
              <w:t>–</w:t>
            </w:r>
          </w:p>
        </w:tc>
      </w:tr>
      <w:tr w:rsidR="0076368D" w:rsidRPr="00000D69" w14:paraId="22C9DB1B" w14:textId="77777777" w:rsidTr="005851DB">
        <w:trPr>
          <w:trHeight w:val="290"/>
        </w:trPr>
        <w:tc>
          <w:tcPr>
            <w:tcW w:w="157" w:type="pct"/>
            <w:tcBorders>
              <w:left w:val="nil"/>
              <w:right w:val="nil"/>
            </w:tcBorders>
            <w:shd w:val="clear" w:color="auto" w:fill="auto"/>
            <w:noWrap/>
            <w:vAlign w:val="bottom"/>
            <w:hideMark/>
          </w:tcPr>
          <w:p w14:paraId="5C678843" w14:textId="77777777" w:rsidR="0076368D" w:rsidRPr="00D86F14" w:rsidRDefault="0076368D" w:rsidP="005851DB">
            <w:pPr>
              <w:tabs>
                <w:tab w:val="clear" w:pos="5103"/>
              </w:tabs>
              <w:spacing w:after="0"/>
              <w:jc w:val="right"/>
              <w:rPr>
                <w:rFonts w:eastAsia="Times New Roman" w:cs="Arial"/>
                <w:b/>
                <w:color w:val="000000"/>
                <w:sz w:val="20"/>
                <w:szCs w:val="20"/>
                <w:lang w:eastAsia="de-CH"/>
              </w:rPr>
            </w:pPr>
            <w:r w:rsidRPr="00D86F14">
              <w:rPr>
                <w:rFonts w:eastAsia="Times New Roman" w:cs="Arial"/>
                <w:b/>
                <w:color w:val="000000"/>
                <w:sz w:val="20"/>
                <w:szCs w:val="20"/>
                <w:lang w:eastAsia="de-CH"/>
              </w:rPr>
              <w:t>=</w:t>
            </w:r>
          </w:p>
        </w:tc>
        <w:tc>
          <w:tcPr>
            <w:tcW w:w="4141" w:type="pct"/>
            <w:tcBorders>
              <w:top w:val="single" w:sz="2" w:space="0" w:color="auto"/>
              <w:left w:val="nil"/>
              <w:bottom w:val="double" w:sz="4" w:space="0" w:color="auto"/>
              <w:right w:val="single" w:sz="12" w:space="0" w:color="auto"/>
            </w:tcBorders>
            <w:shd w:val="clear" w:color="auto" w:fill="auto"/>
            <w:noWrap/>
            <w:vAlign w:val="bottom"/>
            <w:hideMark/>
          </w:tcPr>
          <w:p w14:paraId="0AE355B3" w14:textId="77777777" w:rsidR="0076368D" w:rsidRPr="00D86F14" w:rsidRDefault="0076368D" w:rsidP="005851DB">
            <w:pPr>
              <w:tabs>
                <w:tab w:val="clear" w:pos="5103"/>
              </w:tabs>
              <w:spacing w:after="0"/>
              <w:rPr>
                <w:rFonts w:eastAsia="Times New Roman" w:cs="Arial"/>
                <w:b/>
                <w:color w:val="000000"/>
                <w:sz w:val="20"/>
                <w:szCs w:val="20"/>
                <w:lang w:eastAsia="de-CH"/>
              </w:rPr>
            </w:pPr>
            <w:r w:rsidRPr="00D86F14">
              <w:rPr>
                <w:rFonts w:eastAsia="Times New Roman" w:cs="Arial"/>
                <w:b/>
                <w:color w:val="000000"/>
                <w:sz w:val="20"/>
                <w:szCs w:val="20"/>
                <w:lang w:eastAsia="de-CH"/>
              </w:rPr>
              <w:t>Mietzinsbeitrag</w:t>
            </w:r>
          </w:p>
        </w:tc>
        <w:tc>
          <w:tcPr>
            <w:tcW w:w="702" w:type="pct"/>
            <w:tcBorders>
              <w:top w:val="single" w:sz="2" w:space="0" w:color="auto"/>
              <w:left w:val="single" w:sz="12" w:space="0" w:color="auto"/>
              <w:bottom w:val="double" w:sz="4" w:space="0" w:color="auto"/>
              <w:right w:val="nil"/>
            </w:tcBorders>
            <w:shd w:val="clear" w:color="auto" w:fill="auto"/>
            <w:noWrap/>
            <w:vAlign w:val="bottom"/>
            <w:hideMark/>
          </w:tcPr>
          <w:p w14:paraId="4E5B61F5" w14:textId="3EBBE71A" w:rsidR="0076368D" w:rsidRPr="00D86F14" w:rsidRDefault="00741093" w:rsidP="00AE65A6">
            <w:pPr>
              <w:tabs>
                <w:tab w:val="clear" w:pos="5103"/>
              </w:tabs>
              <w:spacing w:after="0"/>
              <w:jc w:val="right"/>
              <w:rPr>
                <w:rFonts w:eastAsia="Times New Roman" w:cs="Arial"/>
                <w:b/>
                <w:color w:val="000000"/>
                <w:sz w:val="20"/>
                <w:szCs w:val="20"/>
                <w:lang w:eastAsia="de-CH"/>
              </w:rPr>
            </w:pPr>
            <w:r>
              <w:rPr>
                <w:rFonts w:eastAsia="Times New Roman" w:cs="Arial"/>
                <w:b/>
                <w:color w:val="000000"/>
                <w:sz w:val="20"/>
                <w:szCs w:val="20"/>
                <w:lang w:eastAsia="de-CH"/>
              </w:rPr>
              <w:t>5</w:t>
            </w:r>
            <w:r w:rsidR="00910255">
              <w:rPr>
                <w:rFonts w:eastAsia="Times New Roman" w:cs="Arial"/>
                <w:b/>
                <w:color w:val="000000"/>
                <w:sz w:val="20"/>
                <w:szCs w:val="20"/>
                <w:lang w:eastAsia="de-CH"/>
              </w:rPr>
              <w:t>'</w:t>
            </w:r>
            <w:r>
              <w:rPr>
                <w:rFonts w:eastAsia="Times New Roman" w:cs="Arial"/>
                <w:b/>
                <w:color w:val="000000"/>
                <w:sz w:val="20"/>
                <w:szCs w:val="20"/>
                <w:lang w:eastAsia="de-CH"/>
              </w:rPr>
              <w:t>561</w:t>
            </w:r>
            <w:r w:rsidR="0076368D">
              <w:rPr>
                <w:rFonts w:eastAsia="Times New Roman" w:cs="Arial"/>
                <w:b/>
                <w:color w:val="000000"/>
                <w:sz w:val="20"/>
                <w:szCs w:val="20"/>
                <w:lang w:eastAsia="de-CH"/>
              </w:rPr>
              <w:t>.–</w:t>
            </w:r>
          </w:p>
        </w:tc>
      </w:tr>
      <w:tr w:rsidR="0076368D" w:rsidRPr="00000D69" w14:paraId="351C2C5B" w14:textId="77777777" w:rsidTr="005851DB">
        <w:trPr>
          <w:trHeight w:val="290"/>
        </w:trPr>
        <w:tc>
          <w:tcPr>
            <w:tcW w:w="157" w:type="pct"/>
            <w:tcBorders>
              <w:left w:val="nil"/>
              <w:right w:val="nil"/>
            </w:tcBorders>
            <w:shd w:val="clear" w:color="auto" w:fill="auto"/>
            <w:noWrap/>
            <w:vAlign w:val="bottom"/>
          </w:tcPr>
          <w:p w14:paraId="34E77240" w14:textId="77777777" w:rsidR="0076368D" w:rsidRPr="00000D69" w:rsidRDefault="0076368D" w:rsidP="005851DB">
            <w:pPr>
              <w:tabs>
                <w:tab w:val="clear" w:pos="5103"/>
              </w:tabs>
              <w:spacing w:after="0"/>
              <w:jc w:val="right"/>
              <w:rPr>
                <w:rFonts w:eastAsia="Times New Roman" w:cs="Arial"/>
                <w:color w:val="000000"/>
                <w:sz w:val="20"/>
                <w:szCs w:val="20"/>
                <w:lang w:eastAsia="de-CH"/>
              </w:rPr>
            </w:pPr>
          </w:p>
        </w:tc>
        <w:tc>
          <w:tcPr>
            <w:tcW w:w="4141" w:type="pct"/>
            <w:tcBorders>
              <w:left w:val="nil"/>
              <w:bottom w:val="single" w:sz="4" w:space="0" w:color="auto"/>
              <w:right w:val="single" w:sz="12" w:space="0" w:color="auto"/>
            </w:tcBorders>
            <w:shd w:val="clear" w:color="auto" w:fill="auto"/>
            <w:noWrap/>
            <w:vAlign w:val="bottom"/>
          </w:tcPr>
          <w:p w14:paraId="2E16DA1E" w14:textId="77777777" w:rsidR="0076368D" w:rsidRPr="00000D69" w:rsidRDefault="0076368D" w:rsidP="005851DB">
            <w:pPr>
              <w:tabs>
                <w:tab w:val="clear" w:pos="5103"/>
              </w:tabs>
              <w:spacing w:after="0"/>
              <w:rPr>
                <w:rFonts w:eastAsia="Times New Roman" w:cs="Arial"/>
                <w:color w:val="000000"/>
                <w:sz w:val="20"/>
                <w:szCs w:val="20"/>
                <w:lang w:eastAsia="de-CH"/>
              </w:rPr>
            </w:pPr>
            <w:r w:rsidRPr="00000D69">
              <w:rPr>
                <w:rFonts w:eastAsia="Times New Roman" w:cs="Arial"/>
                <w:color w:val="000000"/>
                <w:sz w:val="20"/>
                <w:szCs w:val="20"/>
                <w:lang w:eastAsia="de-CH"/>
              </w:rPr>
              <w:t xml:space="preserve">Mietzinsbeitrag &lt; 75 % </w:t>
            </w:r>
            <w:r>
              <w:rPr>
                <w:rFonts w:eastAsia="Times New Roman" w:cs="Arial"/>
                <w:color w:val="000000"/>
                <w:sz w:val="20"/>
                <w:szCs w:val="20"/>
                <w:lang w:eastAsia="de-CH"/>
              </w:rPr>
              <w:t xml:space="preserve">der </w:t>
            </w:r>
            <w:r w:rsidRPr="00000D69">
              <w:rPr>
                <w:rFonts w:eastAsia="Times New Roman" w:cs="Arial"/>
                <w:color w:val="000000"/>
                <w:sz w:val="20"/>
                <w:szCs w:val="20"/>
                <w:lang w:eastAsia="de-CH"/>
              </w:rPr>
              <w:t>Jahresnettomiete?</w:t>
            </w:r>
          </w:p>
        </w:tc>
        <w:tc>
          <w:tcPr>
            <w:tcW w:w="702" w:type="pct"/>
            <w:tcBorders>
              <w:left w:val="single" w:sz="12" w:space="0" w:color="auto"/>
              <w:bottom w:val="single" w:sz="4" w:space="0" w:color="auto"/>
              <w:right w:val="nil"/>
            </w:tcBorders>
            <w:shd w:val="clear" w:color="auto" w:fill="auto"/>
            <w:noWrap/>
            <w:vAlign w:val="bottom"/>
          </w:tcPr>
          <w:p w14:paraId="3DBA74B6" w14:textId="77777777" w:rsidR="0076368D" w:rsidRPr="00000D69" w:rsidRDefault="0076368D" w:rsidP="005851DB">
            <w:pPr>
              <w:tabs>
                <w:tab w:val="clear" w:pos="5103"/>
              </w:tabs>
              <w:spacing w:after="0"/>
              <w:jc w:val="right"/>
              <w:rPr>
                <w:rFonts w:eastAsia="Times New Roman" w:cs="Arial"/>
                <w:color w:val="000000"/>
                <w:sz w:val="20"/>
                <w:szCs w:val="20"/>
                <w:lang w:eastAsia="de-CH"/>
              </w:rPr>
            </w:pPr>
            <w:r w:rsidRPr="00000D69">
              <w:rPr>
                <w:rFonts w:eastAsia="Times New Roman" w:cs="Arial"/>
                <w:color w:val="000000"/>
                <w:sz w:val="20"/>
                <w:szCs w:val="20"/>
                <w:rtl/>
                <w:lang w:eastAsia="de-CH"/>
              </w:rPr>
              <w:t>Ja</w:t>
            </w:r>
          </w:p>
        </w:tc>
      </w:tr>
      <w:tr w:rsidR="0076368D" w:rsidRPr="00000D69" w14:paraId="24F65B7C" w14:textId="77777777" w:rsidTr="005851DB">
        <w:trPr>
          <w:trHeight w:val="290"/>
        </w:trPr>
        <w:tc>
          <w:tcPr>
            <w:tcW w:w="157" w:type="pct"/>
            <w:tcBorders>
              <w:left w:val="nil"/>
              <w:bottom w:val="nil"/>
              <w:right w:val="nil"/>
            </w:tcBorders>
            <w:shd w:val="clear" w:color="auto" w:fill="auto"/>
            <w:noWrap/>
            <w:vAlign w:val="bottom"/>
            <w:hideMark/>
          </w:tcPr>
          <w:p w14:paraId="14DE686B" w14:textId="77777777" w:rsidR="0076368D" w:rsidRPr="00D86F14" w:rsidRDefault="0076368D" w:rsidP="005851DB">
            <w:pPr>
              <w:tabs>
                <w:tab w:val="clear" w:pos="5103"/>
              </w:tabs>
              <w:spacing w:after="0"/>
              <w:jc w:val="right"/>
              <w:rPr>
                <w:rFonts w:eastAsia="Times New Roman" w:cs="Arial"/>
                <w:color w:val="000000"/>
                <w:sz w:val="20"/>
                <w:szCs w:val="20"/>
                <w:lang w:eastAsia="de-CH"/>
              </w:rPr>
            </w:pPr>
          </w:p>
        </w:tc>
        <w:tc>
          <w:tcPr>
            <w:tcW w:w="4141" w:type="pct"/>
            <w:tcBorders>
              <w:top w:val="single" w:sz="4" w:space="0" w:color="auto"/>
              <w:left w:val="nil"/>
              <w:bottom w:val="single" w:sz="4" w:space="0" w:color="auto"/>
              <w:right w:val="single" w:sz="12" w:space="0" w:color="auto"/>
            </w:tcBorders>
            <w:shd w:val="clear" w:color="auto" w:fill="auto"/>
            <w:noWrap/>
            <w:vAlign w:val="bottom"/>
            <w:hideMark/>
          </w:tcPr>
          <w:p w14:paraId="33587DAE" w14:textId="77777777" w:rsidR="0076368D" w:rsidRPr="00D86F14" w:rsidRDefault="0076368D" w:rsidP="005851DB">
            <w:pPr>
              <w:tabs>
                <w:tab w:val="clear" w:pos="5103"/>
              </w:tabs>
              <w:spacing w:after="0"/>
              <w:rPr>
                <w:rFonts w:eastAsia="Times New Roman" w:cs="Arial"/>
                <w:sz w:val="20"/>
                <w:szCs w:val="20"/>
                <w:lang w:eastAsia="de-CH"/>
              </w:rPr>
            </w:pPr>
            <w:r w:rsidRPr="00000D69">
              <w:rPr>
                <w:rFonts w:eastAsia="Times New Roman" w:cs="Arial"/>
                <w:sz w:val="20"/>
                <w:szCs w:val="20"/>
                <w:lang w:eastAsia="de-CH"/>
              </w:rPr>
              <w:t>Mietzinsbeitrag pro Monat</w:t>
            </w:r>
          </w:p>
        </w:tc>
        <w:tc>
          <w:tcPr>
            <w:tcW w:w="702" w:type="pct"/>
            <w:tcBorders>
              <w:top w:val="single" w:sz="4" w:space="0" w:color="auto"/>
              <w:left w:val="single" w:sz="12" w:space="0" w:color="auto"/>
              <w:bottom w:val="single" w:sz="4" w:space="0" w:color="auto"/>
            </w:tcBorders>
            <w:shd w:val="clear" w:color="auto" w:fill="auto"/>
            <w:noWrap/>
            <w:vAlign w:val="bottom"/>
            <w:hideMark/>
          </w:tcPr>
          <w:p w14:paraId="64DA4783" w14:textId="153899C9" w:rsidR="0076368D" w:rsidRPr="00D86F14" w:rsidRDefault="00741093" w:rsidP="002D5C33">
            <w:pPr>
              <w:tabs>
                <w:tab w:val="clear" w:pos="5103"/>
              </w:tabs>
              <w:spacing w:after="0"/>
              <w:jc w:val="right"/>
              <w:rPr>
                <w:rFonts w:eastAsia="Times New Roman" w:cs="Arial"/>
                <w:color w:val="000000"/>
                <w:sz w:val="20"/>
                <w:szCs w:val="20"/>
                <w:lang w:eastAsia="de-CH"/>
              </w:rPr>
            </w:pPr>
            <w:r>
              <w:rPr>
                <w:rFonts w:eastAsia="Times New Roman" w:cs="Arial"/>
                <w:color w:val="000000"/>
                <w:sz w:val="20"/>
                <w:szCs w:val="20"/>
                <w:lang w:eastAsia="de-CH"/>
              </w:rPr>
              <w:t>463</w:t>
            </w:r>
            <w:r w:rsidR="0076368D" w:rsidRPr="00000D69">
              <w:rPr>
                <w:rFonts w:eastAsia="Times New Roman" w:cs="Arial"/>
                <w:color w:val="000000"/>
                <w:sz w:val="20"/>
                <w:szCs w:val="20"/>
                <w:lang w:eastAsia="de-CH"/>
              </w:rPr>
              <w:t>.</w:t>
            </w:r>
            <w:r w:rsidR="0076368D">
              <w:rPr>
                <w:rFonts w:eastAsia="Times New Roman" w:cs="Arial"/>
                <w:color w:val="000000"/>
                <w:sz w:val="20"/>
                <w:szCs w:val="20"/>
                <w:lang w:eastAsia="de-CH"/>
              </w:rPr>
              <w:t>–</w:t>
            </w:r>
          </w:p>
        </w:tc>
      </w:tr>
    </w:tbl>
    <w:p w14:paraId="1A20774B" w14:textId="77777777" w:rsidR="0076368D" w:rsidRDefault="0076368D" w:rsidP="0076368D">
      <w:pPr>
        <w:pStyle w:val="Traktandum"/>
        <w:ind w:left="0"/>
        <w:rPr>
          <w:b/>
        </w:rPr>
      </w:pPr>
    </w:p>
    <w:p w14:paraId="6A8D4A84" w14:textId="77777777" w:rsidR="0076368D" w:rsidRPr="008E72DB" w:rsidRDefault="0076368D" w:rsidP="0076368D">
      <w:pPr>
        <w:pStyle w:val="Traktandum"/>
        <w:ind w:left="0"/>
        <w:rPr>
          <w:b/>
        </w:rPr>
      </w:pPr>
      <w:r w:rsidRPr="008E72DB">
        <w:rPr>
          <w:b/>
        </w:rPr>
        <w:t xml:space="preserve">Beispiel 2: Vierköpfige Familie (zwei Erwachsene, zwei Kinder) </w:t>
      </w:r>
    </w:p>
    <w:p w14:paraId="497094BA" w14:textId="77777777" w:rsidR="0076368D" w:rsidRPr="008E488A" w:rsidRDefault="0076368D" w:rsidP="0076368D">
      <w:pPr>
        <w:pStyle w:val="Traktandum"/>
        <w:numPr>
          <w:ilvl w:val="0"/>
          <w:numId w:val="28"/>
        </w:numPr>
        <w:ind w:left="714" w:hanging="357"/>
        <w:contextualSpacing/>
      </w:pPr>
      <w:r w:rsidRPr="008E488A">
        <w:t>Die beiden Eltern erzielen gemeinsam ein Jahresnettoeinkommen von CHF 60'000.–.</w:t>
      </w:r>
    </w:p>
    <w:p w14:paraId="7F067730" w14:textId="77777777" w:rsidR="0076368D" w:rsidRPr="008E488A" w:rsidRDefault="0076368D" w:rsidP="0076368D">
      <w:pPr>
        <w:pStyle w:val="Traktandum"/>
        <w:numPr>
          <w:ilvl w:val="0"/>
          <w:numId w:val="28"/>
        </w:numPr>
        <w:ind w:left="714" w:hanging="357"/>
        <w:contextualSpacing/>
      </w:pPr>
      <w:r w:rsidRPr="008E488A">
        <w:t xml:space="preserve">Die Jahresnettomiete der Familie beträgt CHF 19'200.– zuzüglich Nebenkosten von CHF 3'840.–, was einem Total von CHF 23'040.– entspricht. </w:t>
      </w:r>
    </w:p>
    <w:p w14:paraId="3617618D" w14:textId="7218E87C" w:rsidR="0076368D" w:rsidRPr="008E488A" w:rsidRDefault="00085D16" w:rsidP="0076368D">
      <w:pPr>
        <w:pStyle w:val="Traktandum"/>
        <w:numPr>
          <w:ilvl w:val="0"/>
          <w:numId w:val="28"/>
        </w:numPr>
        <w:ind w:left="714" w:hanging="357"/>
        <w:contextualSpacing/>
      </w:pPr>
      <w:r>
        <w:t>Die angemessene Jahresnettomiete</w:t>
      </w:r>
      <w:r w:rsidR="0076368D" w:rsidRPr="008E488A">
        <w:t xml:space="preserve"> entspr</w:t>
      </w:r>
      <w:r w:rsidR="00C45D3E">
        <w:t>icht</w:t>
      </w:r>
      <w:r w:rsidR="0076368D" w:rsidRPr="008E488A">
        <w:t xml:space="preserve"> </w:t>
      </w:r>
      <w:r w:rsidR="004570B0">
        <w:t xml:space="preserve">jährlich </w:t>
      </w:r>
      <w:r w:rsidR="0076368D" w:rsidRPr="008E488A">
        <w:t xml:space="preserve">CHF </w:t>
      </w:r>
      <w:r w:rsidR="0076368D" w:rsidRPr="008E488A">
        <w:rPr>
          <w:szCs w:val="22"/>
        </w:rPr>
        <w:t xml:space="preserve">18’000.– </w:t>
      </w:r>
      <w:r w:rsidR="0076368D" w:rsidRPr="008E488A">
        <w:rPr>
          <w:rFonts w:eastAsia="Times New Roman" w:cs="Arial"/>
          <w:color w:val="000000"/>
          <w:szCs w:val="22"/>
          <w:lang w:eastAsia="de-CH"/>
        </w:rPr>
        <w:t xml:space="preserve">zuzüglich 20 % der Nettomiete als Nebenkosten von CHF 3’600.–, was einem Total von CHF 21’600.– entspricht. </w:t>
      </w:r>
      <w:r w:rsidR="0076368D" w:rsidRPr="008E488A">
        <w:t>Die Jahresnettomiete zuzüglich der Nebenkosten liegt über de</w:t>
      </w:r>
      <w:r>
        <w:t>r angemessenen Jahresnettomiete</w:t>
      </w:r>
      <w:r w:rsidR="0076368D" w:rsidRPr="008E488A">
        <w:t>, weshalb die Jahresnettomiete nur bis zu</w:t>
      </w:r>
      <w:r>
        <w:t>r</w:t>
      </w:r>
      <w:r w:rsidR="0076368D" w:rsidRPr="008E488A">
        <w:t xml:space="preserve"> </w:t>
      </w:r>
      <w:r>
        <w:t>angemessenen Jahresnettomiete</w:t>
      </w:r>
      <w:r w:rsidRPr="008E488A">
        <w:t xml:space="preserve"> </w:t>
      </w:r>
      <w:r w:rsidR="0076368D" w:rsidRPr="008E488A">
        <w:t>berücksichtigt wird.</w:t>
      </w:r>
    </w:p>
    <w:p w14:paraId="3A063477" w14:textId="77777777" w:rsidR="0076368D" w:rsidRPr="008E488A" w:rsidRDefault="0076368D" w:rsidP="0076368D">
      <w:pPr>
        <w:pStyle w:val="Traktandum"/>
        <w:numPr>
          <w:ilvl w:val="0"/>
          <w:numId w:val="28"/>
        </w:numPr>
        <w:ind w:left="714" w:hanging="357"/>
        <w:contextualSpacing/>
      </w:pPr>
      <w:r w:rsidRPr="008E488A">
        <w:t>Die Kinder gehen zur Schule und werden nicht zusätzlich fremdbetreut.</w:t>
      </w:r>
    </w:p>
    <w:p w14:paraId="1B1795B2" w14:textId="57E4D418" w:rsidR="0076368D" w:rsidRPr="008E72DB" w:rsidRDefault="0076368D" w:rsidP="0076368D">
      <w:pPr>
        <w:pStyle w:val="Traktandum"/>
        <w:numPr>
          <w:ilvl w:val="0"/>
          <w:numId w:val="27"/>
        </w:numPr>
        <w:ind w:left="714" w:hanging="357"/>
        <w:contextualSpacing/>
      </w:pPr>
      <w:r w:rsidRPr="008E488A">
        <w:t xml:space="preserve">Die Krankenkassenprämien entsprechen den </w:t>
      </w:r>
      <w:hyperlink r:id="rId27" w:history="1">
        <w:r w:rsidRPr="008E72DB">
          <w:rPr>
            <w:rStyle w:val="Hyperlink"/>
          </w:rPr>
          <w:t>regionalen Durchschnittsprämien (Region 1)</w:t>
        </w:r>
      </w:hyperlink>
      <w:r w:rsidRPr="008E72DB">
        <w:t xml:space="preserve"> und betragen für die Familie CHF 1</w:t>
      </w:r>
      <w:r w:rsidR="00915F65" w:rsidRPr="00B3724B">
        <w:t>7</w:t>
      </w:r>
      <w:r w:rsidRPr="008E72DB">
        <w:t>'</w:t>
      </w:r>
      <w:r w:rsidR="00915F65" w:rsidRPr="00B3724B">
        <w:t>256</w:t>
      </w:r>
      <w:r w:rsidRPr="008E72DB">
        <w:t>.–</w:t>
      </w:r>
      <w:r w:rsidR="0020546E" w:rsidRPr="00B3724B">
        <w:t xml:space="preserve"> (CHF 6</w:t>
      </w:r>
      <w:r w:rsidR="00C45D3E">
        <w:t>’</w:t>
      </w:r>
      <w:r w:rsidR="0020546E" w:rsidRPr="00B3724B">
        <w:t>960.- * 2</w:t>
      </w:r>
      <w:r w:rsidR="00915F65" w:rsidRPr="00B3724B">
        <w:t xml:space="preserve"> </w:t>
      </w:r>
      <w:r w:rsidR="0020546E" w:rsidRPr="00B3724B">
        <w:t>+ 1</w:t>
      </w:r>
      <w:r w:rsidR="00C45D3E">
        <w:t>’</w:t>
      </w:r>
      <w:r w:rsidR="0020546E" w:rsidRPr="00B3724B">
        <w:t>668.- * 2)</w:t>
      </w:r>
      <w:r w:rsidRPr="008E72DB">
        <w:t xml:space="preserve">. Die Unterstützungseinheit erhält individuelle Prämienverbilligung in der Höhe von CHF </w:t>
      </w:r>
      <w:r w:rsidR="008E488A" w:rsidRPr="00B3724B">
        <w:t>7’032</w:t>
      </w:r>
      <w:r w:rsidRPr="008E72DB">
        <w:t xml:space="preserve">.–, was effektive Krankenkassenprämien von CHF </w:t>
      </w:r>
      <w:r w:rsidR="008E488A" w:rsidRPr="00B3724B">
        <w:t>10</w:t>
      </w:r>
      <w:r w:rsidR="008E488A" w:rsidRPr="008E72DB">
        <w:t>'</w:t>
      </w:r>
      <w:r w:rsidR="008E488A" w:rsidRPr="00B3724B">
        <w:t>224</w:t>
      </w:r>
      <w:r w:rsidRPr="008E72DB">
        <w:t>.– ergibt</w:t>
      </w:r>
      <w:r w:rsidRPr="008E72DB">
        <w:rPr>
          <w:rStyle w:val="Funotenzeichen"/>
        </w:rPr>
        <w:footnoteReference w:id="2"/>
      </w:r>
      <w:r w:rsidRPr="008E72DB">
        <w:t xml:space="preserve">. </w:t>
      </w:r>
    </w:p>
    <w:p w14:paraId="1288E1C1" w14:textId="405DCBAD" w:rsidR="0064028D" w:rsidRDefault="0076368D" w:rsidP="00B3724B">
      <w:pPr>
        <w:pStyle w:val="Traktandum"/>
        <w:numPr>
          <w:ilvl w:val="0"/>
          <w:numId w:val="28"/>
        </w:numPr>
        <w:ind w:left="714" w:hanging="357"/>
        <w:contextualSpacing/>
      </w:pPr>
      <w:r w:rsidRPr="00910255">
        <w:t>Das Vermögen der Unterstützungseinheit beträgt CHF 20'000.–.</w:t>
      </w:r>
    </w:p>
    <w:p w14:paraId="2AF9CA2E" w14:textId="00A98AA5" w:rsidR="0076368D" w:rsidRDefault="0064028D" w:rsidP="00B3724B">
      <w:pPr>
        <w:pStyle w:val="Traktandum"/>
        <w:numPr>
          <w:ilvl w:val="0"/>
          <w:numId w:val="27"/>
        </w:numPr>
        <w:ind w:left="714" w:hanging="357"/>
        <w:contextualSpacing/>
      </w:pPr>
      <w:r>
        <w:t>Der sozialhilferechtliche Grundbedarf gemäss Sozialhilfeverordnung (</w:t>
      </w:r>
      <w:r w:rsidR="00115DFF">
        <w:t>§</w:t>
      </w:r>
      <w:r w:rsidR="009E5A1D">
        <w:t xml:space="preserve"> </w:t>
      </w:r>
      <w:r w:rsidR="00115DFF">
        <w:t xml:space="preserve">9 Abs. 1 </w:t>
      </w:r>
      <w:r>
        <w:t>SHV</w:t>
      </w:r>
      <w:r w:rsidR="009E5A1D">
        <w:t>,</w:t>
      </w:r>
      <w:r>
        <w:t xml:space="preserve"> </w:t>
      </w:r>
      <w:hyperlink r:id="rId28" w:history="1">
        <w:r w:rsidRPr="00037F83">
          <w:rPr>
            <w:rStyle w:val="Hyperlink"/>
          </w:rPr>
          <w:t>SGS 850.11</w:t>
        </w:r>
      </w:hyperlink>
      <w:r>
        <w:t>) für die Familie beträgt CHF 26'472 (= CHF 2’206 * 12).</w:t>
      </w:r>
    </w:p>
    <w:p w14:paraId="3B28D496" w14:textId="03387AF7" w:rsidR="002A3848" w:rsidRDefault="002A3848" w:rsidP="00B3724B">
      <w:pPr>
        <w:pStyle w:val="Traktandum"/>
        <w:numPr>
          <w:ilvl w:val="0"/>
          <w:numId w:val="27"/>
        </w:numPr>
        <w:ind w:left="714" w:hanging="357"/>
        <w:contextualSpacing/>
      </w:pPr>
      <w:r>
        <w:t>Die freien Vermögensbeträge gemäss Sozialhilfeverordnung (§</w:t>
      </w:r>
      <w:r w:rsidR="009E5A1D">
        <w:t xml:space="preserve"> </w:t>
      </w:r>
      <w:r>
        <w:t>16 Abs. 2 SHV</w:t>
      </w:r>
      <w:r w:rsidR="009E5A1D">
        <w:t>,</w:t>
      </w:r>
      <w:r>
        <w:t xml:space="preserve"> </w:t>
      </w:r>
      <w:hyperlink r:id="rId29" w:history="1">
        <w:r w:rsidRPr="00037F83">
          <w:rPr>
            <w:rStyle w:val="Hyperlink"/>
          </w:rPr>
          <w:t>SGS 850.11</w:t>
        </w:r>
      </w:hyperlink>
      <w:r>
        <w:t>) entsprechen für die Familie CHF 4’700.-.</w:t>
      </w:r>
    </w:p>
    <w:tbl>
      <w:tblPr>
        <w:tblW w:w="5000" w:type="pct"/>
        <w:tblLayout w:type="fixed"/>
        <w:tblCellMar>
          <w:left w:w="70" w:type="dxa"/>
          <w:right w:w="70" w:type="dxa"/>
        </w:tblCellMar>
        <w:tblLook w:val="04A0" w:firstRow="1" w:lastRow="0" w:firstColumn="1" w:lastColumn="0" w:noHBand="0" w:noVBand="1"/>
      </w:tblPr>
      <w:tblGrid>
        <w:gridCol w:w="247"/>
        <w:gridCol w:w="8182"/>
        <w:gridCol w:w="1202"/>
      </w:tblGrid>
      <w:tr w:rsidR="0076368D" w:rsidRPr="00731C45" w14:paraId="30677A65" w14:textId="77777777" w:rsidTr="005851DB">
        <w:trPr>
          <w:trHeight w:val="280"/>
        </w:trPr>
        <w:tc>
          <w:tcPr>
            <w:tcW w:w="4376" w:type="pct"/>
            <w:gridSpan w:val="2"/>
            <w:tcBorders>
              <w:top w:val="nil"/>
              <w:left w:val="nil"/>
              <w:bottom w:val="single" w:sz="12" w:space="0" w:color="auto"/>
              <w:right w:val="single" w:sz="12" w:space="0" w:color="auto"/>
            </w:tcBorders>
            <w:shd w:val="clear" w:color="auto" w:fill="auto"/>
            <w:noWrap/>
            <w:vAlign w:val="bottom"/>
            <w:hideMark/>
          </w:tcPr>
          <w:p w14:paraId="4BCE220C" w14:textId="77777777" w:rsidR="0076368D" w:rsidRPr="00731C45" w:rsidRDefault="0076368D" w:rsidP="005851DB">
            <w:pPr>
              <w:tabs>
                <w:tab w:val="clear" w:pos="5103"/>
              </w:tabs>
              <w:spacing w:after="0"/>
              <w:rPr>
                <w:rFonts w:eastAsia="Times New Roman" w:cs="Arial"/>
                <w:color w:val="000000"/>
                <w:sz w:val="20"/>
                <w:szCs w:val="20"/>
                <w:lang w:eastAsia="de-CH"/>
              </w:rPr>
            </w:pPr>
            <w:r>
              <w:rPr>
                <w:rFonts w:eastAsia="Times New Roman" w:cs="Arial"/>
                <w:b/>
                <w:color w:val="000000"/>
                <w:sz w:val="20"/>
                <w:szCs w:val="20"/>
                <w:lang w:eastAsia="de-CH"/>
              </w:rPr>
              <w:t>Einkommensgrenze</w:t>
            </w:r>
            <w:r w:rsidRPr="00731C45">
              <w:rPr>
                <w:rFonts w:eastAsia="Times New Roman" w:cs="Arial"/>
                <w:color w:val="000000"/>
                <w:sz w:val="20"/>
                <w:szCs w:val="20"/>
                <w:lang w:eastAsia="de-CH"/>
              </w:rPr>
              <w:t xml:space="preserve">: </w:t>
            </w:r>
          </w:p>
        </w:tc>
        <w:tc>
          <w:tcPr>
            <w:tcW w:w="624" w:type="pct"/>
            <w:tcBorders>
              <w:top w:val="nil"/>
              <w:left w:val="single" w:sz="12" w:space="0" w:color="auto"/>
              <w:bottom w:val="single" w:sz="12" w:space="0" w:color="auto"/>
              <w:right w:val="nil"/>
            </w:tcBorders>
            <w:shd w:val="clear" w:color="auto" w:fill="auto"/>
            <w:vAlign w:val="bottom"/>
            <w:hideMark/>
          </w:tcPr>
          <w:p w14:paraId="3DFD104F" w14:textId="77777777" w:rsidR="0076368D" w:rsidRPr="00731C45" w:rsidRDefault="0076368D" w:rsidP="005851DB">
            <w:pPr>
              <w:tabs>
                <w:tab w:val="clear" w:pos="5103"/>
              </w:tabs>
              <w:spacing w:after="0"/>
              <w:rPr>
                <w:rFonts w:eastAsia="Times New Roman" w:cs="Arial"/>
                <w:color w:val="000000"/>
                <w:sz w:val="20"/>
                <w:szCs w:val="20"/>
                <w:u w:val="single"/>
                <w:lang w:eastAsia="de-CH"/>
              </w:rPr>
            </w:pPr>
          </w:p>
        </w:tc>
      </w:tr>
      <w:tr w:rsidR="0076368D" w:rsidRPr="00731C45" w14:paraId="7046C91A" w14:textId="77777777" w:rsidTr="005851DB">
        <w:trPr>
          <w:trHeight w:val="280"/>
        </w:trPr>
        <w:tc>
          <w:tcPr>
            <w:tcW w:w="128" w:type="pct"/>
            <w:tcBorders>
              <w:top w:val="nil"/>
              <w:left w:val="nil"/>
              <w:right w:val="nil"/>
            </w:tcBorders>
            <w:shd w:val="clear" w:color="auto" w:fill="auto"/>
            <w:noWrap/>
            <w:vAlign w:val="bottom"/>
            <w:hideMark/>
          </w:tcPr>
          <w:p w14:paraId="0CCF4A6A" w14:textId="77777777" w:rsidR="0076368D" w:rsidRPr="00731C45" w:rsidRDefault="0076368D" w:rsidP="005851DB">
            <w:pPr>
              <w:spacing w:after="0"/>
              <w:rPr>
                <w:rFonts w:eastAsia="Times New Roman" w:cs="Arial"/>
                <w:color w:val="000000"/>
                <w:sz w:val="20"/>
                <w:szCs w:val="20"/>
                <w:u w:val="single"/>
                <w:lang w:eastAsia="de-CH"/>
              </w:rPr>
            </w:pPr>
          </w:p>
        </w:tc>
        <w:tc>
          <w:tcPr>
            <w:tcW w:w="4248" w:type="pct"/>
            <w:tcBorders>
              <w:top w:val="nil"/>
              <w:left w:val="nil"/>
              <w:bottom w:val="nil"/>
              <w:right w:val="single" w:sz="12" w:space="0" w:color="auto"/>
            </w:tcBorders>
            <w:shd w:val="clear" w:color="auto" w:fill="auto"/>
            <w:noWrap/>
            <w:vAlign w:val="bottom"/>
            <w:hideMark/>
          </w:tcPr>
          <w:p w14:paraId="07667032" w14:textId="77777777" w:rsidR="0076368D" w:rsidRPr="00731C45" w:rsidRDefault="0076368D" w:rsidP="005851DB">
            <w:pPr>
              <w:tabs>
                <w:tab w:val="clear" w:pos="5103"/>
              </w:tabs>
              <w:spacing w:after="0"/>
              <w:rPr>
                <w:rFonts w:eastAsia="Times New Roman" w:cs="Arial"/>
                <w:color w:val="000000"/>
                <w:sz w:val="20"/>
                <w:szCs w:val="20"/>
                <w:lang w:eastAsia="de-CH"/>
              </w:rPr>
            </w:pPr>
            <w:r w:rsidRPr="00731C45">
              <w:rPr>
                <w:rFonts w:eastAsia="Times New Roman" w:cs="Arial"/>
                <w:color w:val="000000"/>
                <w:sz w:val="20"/>
                <w:szCs w:val="20"/>
                <w:lang w:eastAsia="de-CH"/>
              </w:rPr>
              <w:t>130 % SH-Grundbedarf</w:t>
            </w:r>
          </w:p>
        </w:tc>
        <w:tc>
          <w:tcPr>
            <w:tcW w:w="624" w:type="pct"/>
            <w:tcBorders>
              <w:top w:val="nil"/>
              <w:left w:val="single" w:sz="12" w:space="0" w:color="auto"/>
              <w:bottom w:val="nil"/>
              <w:right w:val="nil"/>
            </w:tcBorders>
            <w:shd w:val="clear" w:color="auto" w:fill="auto"/>
            <w:noWrap/>
            <w:vAlign w:val="bottom"/>
            <w:hideMark/>
          </w:tcPr>
          <w:p w14:paraId="7FEADDAA" w14:textId="5CCF6D69" w:rsidR="0076368D" w:rsidRPr="00731C45" w:rsidRDefault="00192DE9" w:rsidP="00192DE9">
            <w:pPr>
              <w:tabs>
                <w:tab w:val="clear" w:pos="5103"/>
              </w:tabs>
              <w:spacing w:after="0"/>
              <w:jc w:val="right"/>
              <w:rPr>
                <w:rFonts w:eastAsia="Times New Roman" w:cs="Arial"/>
                <w:color w:val="000000"/>
                <w:sz w:val="20"/>
                <w:szCs w:val="20"/>
                <w:lang w:eastAsia="de-CH"/>
              </w:rPr>
            </w:pPr>
            <w:r w:rsidRPr="00731C45">
              <w:rPr>
                <w:rFonts w:eastAsia="Times New Roman" w:cs="Arial"/>
                <w:color w:val="000000"/>
                <w:sz w:val="20"/>
                <w:szCs w:val="20"/>
                <w:lang w:eastAsia="de-CH"/>
              </w:rPr>
              <w:t>3</w:t>
            </w:r>
            <w:r>
              <w:rPr>
                <w:rFonts w:eastAsia="Times New Roman" w:cs="Arial"/>
                <w:color w:val="000000"/>
                <w:sz w:val="20"/>
                <w:szCs w:val="20"/>
                <w:lang w:eastAsia="de-CH"/>
              </w:rPr>
              <w:t>4</w:t>
            </w:r>
            <w:r w:rsidRPr="00000D69">
              <w:rPr>
                <w:rFonts w:eastAsia="Times New Roman" w:cs="Arial"/>
                <w:color w:val="000000"/>
                <w:sz w:val="20"/>
                <w:szCs w:val="20"/>
                <w:lang w:eastAsia="de-CH"/>
              </w:rPr>
              <w:t>'</w:t>
            </w:r>
            <w:r>
              <w:rPr>
                <w:rFonts w:eastAsia="Times New Roman" w:cs="Arial"/>
                <w:color w:val="000000"/>
                <w:sz w:val="20"/>
                <w:szCs w:val="20"/>
                <w:lang w:eastAsia="de-CH"/>
              </w:rPr>
              <w:t>414</w:t>
            </w:r>
            <w:r w:rsidR="0076368D" w:rsidRPr="00000D69">
              <w:rPr>
                <w:rFonts w:eastAsia="Times New Roman" w:cs="Arial"/>
                <w:color w:val="000000"/>
                <w:sz w:val="20"/>
                <w:szCs w:val="20"/>
                <w:lang w:eastAsia="de-CH"/>
              </w:rPr>
              <w:t>.</w:t>
            </w:r>
            <w:r w:rsidR="0076368D">
              <w:rPr>
                <w:rFonts w:eastAsia="Times New Roman" w:cs="Arial"/>
                <w:color w:val="000000"/>
                <w:sz w:val="20"/>
                <w:szCs w:val="20"/>
                <w:lang w:eastAsia="de-CH"/>
              </w:rPr>
              <w:t>–</w:t>
            </w:r>
          </w:p>
        </w:tc>
      </w:tr>
      <w:tr w:rsidR="0076368D" w:rsidRPr="00731C45" w14:paraId="3D6229E3" w14:textId="77777777" w:rsidTr="005851DB">
        <w:trPr>
          <w:trHeight w:val="233"/>
        </w:trPr>
        <w:tc>
          <w:tcPr>
            <w:tcW w:w="128" w:type="pct"/>
            <w:tcBorders>
              <w:left w:val="nil"/>
              <w:bottom w:val="nil"/>
              <w:right w:val="nil"/>
            </w:tcBorders>
            <w:shd w:val="clear" w:color="auto" w:fill="auto"/>
            <w:noWrap/>
            <w:vAlign w:val="bottom"/>
          </w:tcPr>
          <w:p w14:paraId="669DDE82" w14:textId="77777777" w:rsidR="0076368D" w:rsidRPr="00000D69" w:rsidRDefault="0076368D" w:rsidP="005851DB">
            <w:pPr>
              <w:spacing w:after="0"/>
              <w:rPr>
                <w:rFonts w:eastAsia="Times New Roman" w:cs="Arial"/>
                <w:color w:val="000000"/>
                <w:sz w:val="20"/>
                <w:szCs w:val="20"/>
                <w:lang w:eastAsia="de-CH"/>
              </w:rPr>
            </w:pPr>
            <w:r w:rsidRPr="00000D69">
              <w:rPr>
                <w:rFonts w:eastAsia="Times New Roman" w:cs="Arial"/>
                <w:color w:val="000000"/>
                <w:sz w:val="20"/>
                <w:szCs w:val="20"/>
                <w:lang w:eastAsia="de-CH"/>
              </w:rPr>
              <w:t>+</w:t>
            </w:r>
          </w:p>
        </w:tc>
        <w:tc>
          <w:tcPr>
            <w:tcW w:w="4248" w:type="pct"/>
            <w:vMerge w:val="restart"/>
            <w:tcBorders>
              <w:top w:val="nil"/>
              <w:left w:val="nil"/>
              <w:right w:val="single" w:sz="12" w:space="0" w:color="auto"/>
            </w:tcBorders>
            <w:shd w:val="clear" w:color="auto" w:fill="auto"/>
            <w:noWrap/>
            <w:vAlign w:val="bottom"/>
          </w:tcPr>
          <w:p w14:paraId="516E0900" w14:textId="77777777" w:rsidR="0076368D" w:rsidRPr="00000D69" w:rsidRDefault="0076368D" w:rsidP="005851DB">
            <w:pPr>
              <w:tabs>
                <w:tab w:val="clear" w:pos="5103"/>
              </w:tabs>
              <w:spacing w:after="0"/>
              <w:rPr>
                <w:rFonts w:eastAsia="Times New Roman" w:cs="Arial"/>
                <w:color w:val="000000"/>
                <w:sz w:val="20"/>
                <w:szCs w:val="20"/>
                <w:lang w:eastAsia="de-CH"/>
              </w:rPr>
            </w:pPr>
            <w:r w:rsidRPr="00731C45">
              <w:rPr>
                <w:rFonts w:eastAsia="Times New Roman" w:cs="Arial"/>
                <w:color w:val="000000"/>
                <w:sz w:val="20"/>
                <w:szCs w:val="20"/>
                <w:lang w:eastAsia="de-CH"/>
              </w:rPr>
              <w:t>effektive Prämien der obligatorischen Krankenpflegeversicherung bis maximal die regionalen Durchschnittsprämien</w:t>
            </w:r>
          </w:p>
        </w:tc>
        <w:tc>
          <w:tcPr>
            <w:tcW w:w="624" w:type="pct"/>
            <w:vMerge w:val="restart"/>
            <w:tcBorders>
              <w:top w:val="nil"/>
              <w:left w:val="single" w:sz="12" w:space="0" w:color="auto"/>
              <w:right w:val="nil"/>
            </w:tcBorders>
            <w:shd w:val="clear" w:color="auto" w:fill="auto"/>
            <w:noWrap/>
            <w:vAlign w:val="bottom"/>
          </w:tcPr>
          <w:p w14:paraId="055C34CC" w14:textId="11E55292" w:rsidR="0076368D" w:rsidRPr="00000D69" w:rsidRDefault="00F9233E" w:rsidP="008E72DB">
            <w:pPr>
              <w:tabs>
                <w:tab w:val="clear" w:pos="5103"/>
              </w:tabs>
              <w:spacing w:after="0"/>
              <w:jc w:val="right"/>
              <w:rPr>
                <w:rFonts w:eastAsia="Times New Roman" w:cs="Arial"/>
                <w:color w:val="000000"/>
                <w:sz w:val="20"/>
                <w:szCs w:val="20"/>
                <w:lang w:eastAsia="de-CH"/>
              </w:rPr>
            </w:pPr>
            <w:r w:rsidRPr="00B3724B">
              <w:rPr>
                <w:rFonts w:eastAsia="Times New Roman" w:cs="Arial"/>
                <w:color w:val="000000"/>
                <w:sz w:val="20"/>
                <w:szCs w:val="20"/>
                <w:lang w:eastAsia="de-CH"/>
              </w:rPr>
              <w:t>10</w:t>
            </w:r>
            <w:r w:rsidRPr="008E72DB">
              <w:rPr>
                <w:rFonts w:eastAsia="Times New Roman" w:cs="Arial"/>
                <w:color w:val="000000"/>
                <w:sz w:val="20"/>
                <w:szCs w:val="20"/>
                <w:lang w:eastAsia="de-CH"/>
              </w:rPr>
              <w:t>’224</w:t>
            </w:r>
            <w:r w:rsidR="0076368D" w:rsidRPr="00000D69">
              <w:rPr>
                <w:rFonts w:eastAsia="Times New Roman" w:cs="Arial"/>
                <w:color w:val="000000"/>
                <w:sz w:val="20"/>
                <w:szCs w:val="20"/>
                <w:lang w:eastAsia="de-CH"/>
              </w:rPr>
              <w:t>.</w:t>
            </w:r>
            <w:r w:rsidR="0076368D">
              <w:rPr>
                <w:rFonts w:eastAsia="Times New Roman" w:cs="Arial"/>
                <w:color w:val="000000"/>
                <w:sz w:val="20"/>
                <w:szCs w:val="20"/>
                <w:lang w:eastAsia="de-CH"/>
              </w:rPr>
              <w:t>–</w:t>
            </w:r>
          </w:p>
        </w:tc>
      </w:tr>
      <w:tr w:rsidR="0076368D" w:rsidRPr="00731C45" w14:paraId="6479D981" w14:textId="77777777" w:rsidTr="005851DB">
        <w:trPr>
          <w:trHeight w:val="232"/>
        </w:trPr>
        <w:tc>
          <w:tcPr>
            <w:tcW w:w="128" w:type="pct"/>
            <w:tcBorders>
              <w:left w:val="nil"/>
              <w:bottom w:val="nil"/>
              <w:right w:val="nil"/>
            </w:tcBorders>
            <w:shd w:val="clear" w:color="auto" w:fill="auto"/>
            <w:noWrap/>
            <w:vAlign w:val="bottom"/>
          </w:tcPr>
          <w:p w14:paraId="79EDB0A5" w14:textId="77777777" w:rsidR="0076368D" w:rsidRPr="00000D69" w:rsidRDefault="0076368D" w:rsidP="005851DB">
            <w:pPr>
              <w:spacing w:after="0"/>
              <w:rPr>
                <w:rFonts w:eastAsia="Times New Roman" w:cs="Arial"/>
                <w:color w:val="000000"/>
                <w:sz w:val="20"/>
                <w:szCs w:val="20"/>
                <w:u w:val="single"/>
                <w:lang w:eastAsia="de-CH"/>
              </w:rPr>
            </w:pPr>
          </w:p>
        </w:tc>
        <w:tc>
          <w:tcPr>
            <w:tcW w:w="4248" w:type="pct"/>
            <w:vMerge/>
            <w:tcBorders>
              <w:left w:val="nil"/>
              <w:bottom w:val="nil"/>
              <w:right w:val="single" w:sz="12" w:space="0" w:color="auto"/>
            </w:tcBorders>
            <w:shd w:val="clear" w:color="auto" w:fill="auto"/>
            <w:noWrap/>
            <w:vAlign w:val="bottom"/>
          </w:tcPr>
          <w:p w14:paraId="2E9E9936" w14:textId="77777777" w:rsidR="0076368D" w:rsidRPr="00000D69" w:rsidRDefault="0076368D" w:rsidP="005851DB">
            <w:pPr>
              <w:tabs>
                <w:tab w:val="clear" w:pos="5103"/>
              </w:tabs>
              <w:spacing w:after="0"/>
              <w:rPr>
                <w:rFonts w:eastAsia="Times New Roman" w:cs="Arial"/>
                <w:color w:val="000000"/>
                <w:sz w:val="20"/>
                <w:szCs w:val="20"/>
                <w:lang w:eastAsia="de-CH"/>
              </w:rPr>
            </w:pPr>
          </w:p>
        </w:tc>
        <w:tc>
          <w:tcPr>
            <w:tcW w:w="624" w:type="pct"/>
            <w:vMerge/>
            <w:tcBorders>
              <w:left w:val="single" w:sz="12" w:space="0" w:color="auto"/>
              <w:bottom w:val="nil"/>
              <w:right w:val="nil"/>
            </w:tcBorders>
            <w:shd w:val="clear" w:color="auto" w:fill="auto"/>
            <w:noWrap/>
            <w:vAlign w:val="bottom"/>
          </w:tcPr>
          <w:p w14:paraId="15687C6B" w14:textId="77777777" w:rsidR="0076368D" w:rsidRPr="00000D69" w:rsidRDefault="0076368D" w:rsidP="005851DB">
            <w:pPr>
              <w:tabs>
                <w:tab w:val="clear" w:pos="5103"/>
              </w:tabs>
              <w:spacing w:after="0"/>
              <w:jc w:val="right"/>
              <w:rPr>
                <w:rFonts w:eastAsia="Times New Roman" w:cs="Arial"/>
                <w:color w:val="000000"/>
                <w:sz w:val="20"/>
                <w:szCs w:val="20"/>
                <w:lang w:eastAsia="de-CH"/>
              </w:rPr>
            </w:pPr>
          </w:p>
        </w:tc>
      </w:tr>
      <w:tr w:rsidR="0076368D" w:rsidRPr="00731C45" w14:paraId="24DD55EF" w14:textId="77777777" w:rsidTr="005851DB">
        <w:trPr>
          <w:trHeight w:val="419"/>
        </w:trPr>
        <w:tc>
          <w:tcPr>
            <w:tcW w:w="128" w:type="pct"/>
            <w:tcBorders>
              <w:top w:val="nil"/>
              <w:left w:val="nil"/>
              <w:bottom w:val="nil"/>
              <w:right w:val="nil"/>
            </w:tcBorders>
            <w:shd w:val="clear" w:color="auto" w:fill="auto"/>
            <w:noWrap/>
            <w:vAlign w:val="bottom"/>
            <w:hideMark/>
          </w:tcPr>
          <w:p w14:paraId="319A1264" w14:textId="77777777" w:rsidR="0076368D" w:rsidRPr="00731C45" w:rsidRDefault="0076368D" w:rsidP="005851DB">
            <w:pPr>
              <w:tabs>
                <w:tab w:val="clear" w:pos="5103"/>
              </w:tabs>
              <w:spacing w:after="0"/>
              <w:jc w:val="right"/>
              <w:rPr>
                <w:rFonts w:eastAsia="Times New Roman" w:cs="Arial"/>
                <w:color w:val="000000"/>
                <w:sz w:val="20"/>
                <w:szCs w:val="20"/>
                <w:lang w:eastAsia="de-CH"/>
              </w:rPr>
            </w:pPr>
            <w:r w:rsidRPr="00731C45">
              <w:rPr>
                <w:rFonts w:eastAsia="Times New Roman" w:cs="Arial"/>
                <w:color w:val="000000"/>
                <w:sz w:val="20"/>
                <w:szCs w:val="20"/>
                <w:lang w:eastAsia="de-CH"/>
              </w:rPr>
              <w:t>+</w:t>
            </w:r>
          </w:p>
        </w:tc>
        <w:tc>
          <w:tcPr>
            <w:tcW w:w="4248" w:type="pct"/>
            <w:vMerge w:val="restart"/>
            <w:tcBorders>
              <w:top w:val="nil"/>
              <w:left w:val="nil"/>
              <w:right w:val="single" w:sz="12" w:space="0" w:color="auto"/>
            </w:tcBorders>
            <w:shd w:val="clear" w:color="auto" w:fill="auto"/>
            <w:noWrap/>
            <w:vAlign w:val="bottom"/>
            <w:hideMark/>
          </w:tcPr>
          <w:p w14:paraId="7EC048B6" w14:textId="77777777" w:rsidR="0076368D" w:rsidRPr="00097921" w:rsidRDefault="0076368D" w:rsidP="005851DB">
            <w:pPr>
              <w:tabs>
                <w:tab w:val="clear" w:pos="5103"/>
              </w:tabs>
              <w:spacing w:after="0"/>
              <w:rPr>
                <w:rFonts w:eastAsia="Times New Roman" w:cs="Arial"/>
                <w:color w:val="000000"/>
                <w:sz w:val="20"/>
                <w:szCs w:val="20"/>
                <w:lang w:eastAsia="de-CH"/>
              </w:rPr>
            </w:pPr>
            <w:r w:rsidRPr="0025385F">
              <w:rPr>
                <w:sz w:val="20"/>
                <w:szCs w:val="20"/>
              </w:rPr>
              <w:t>effektive Jahresnettomiete bis maximal die angemessene Jahresnettomiete, die mindestens dem durch die Gemeinde festgelegten Mietzinsgrenzwert entspricht, zuzüglich 20 % der Nettomiete als Nebenkosten</w:t>
            </w:r>
          </w:p>
        </w:tc>
        <w:tc>
          <w:tcPr>
            <w:tcW w:w="624" w:type="pct"/>
            <w:vMerge w:val="restart"/>
            <w:tcBorders>
              <w:top w:val="nil"/>
              <w:left w:val="single" w:sz="12" w:space="0" w:color="auto"/>
              <w:right w:val="nil"/>
            </w:tcBorders>
            <w:shd w:val="clear" w:color="auto" w:fill="auto"/>
            <w:noWrap/>
            <w:vAlign w:val="bottom"/>
            <w:hideMark/>
          </w:tcPr>
          <w:p w14:paraId="31B26BC6" w14:textId="77777777" w:rsidR="0076368D" w:rsidRPr="00731C45" w:rsidRDefault="0076368D" w:rsidP="005851DB">
            <w:pPr>
              <w:tabs>
                <w:tab w:val="clear" w:pos="5103"/>
              </w:tabs>
              <w:spacing w:after="0"/>
              <w:jc w:val="right"/>
              <w:rPr>
                <w:rFonts w:eastAsia="Times New Roman" w:cs="Arial"/>
                <w:color w:val="000000"/>
                <w:sz w:val="20"/>
                <w:szCs w:val="20"/>
                <w:lang w:eastAsia="de-CH"/>
              </w:rPr>
            </w:pPr>
            <w:r w:rsidRPr="00731C45">
              <w:rPr>
                <w:rFonts w:eastAsia="Times New Roman" w:cs="Arial"/>
                <w:color w:val="000000"/>
                <w:sz w:val="20"/>
                <w:szCs w:val="20"/>
                <w:lang w:eastAsia="de-CH"/>
              </w:rPr>
              <w:t>21</w:t>
            </w:r>
            <w:r w:rsidRPr="00000D69">
              <w:rPr>
                <w:rFonts w:eastAsia="Times New Roman" w:cs="Arial"/>
                <w:color w:val="000000"/>
                <w:sz w:val="20"/>
                <w:szCs w:val="20"/>
                <w:lang w:eastAsia="de-CH"/>
              </w:rPr>
              <w:t>’</w:t>
            </w:r>
            <w:r w:rsidRPr="00731C45">
              <w:rPr>
                <w:rFonts w:eastAsia="Times New Roman" w:cs="Arial"/>
                <w:color w:val="000000"/>
                <w:sz w:val="20"/>
                <w:szCs w:val="20"/>
                <w:lang w:eastAsia="de-CH"/>
              </w:rPr>
              <w:t>600</w:t>
            </w:r>
            <w:r w:rsidRPr="00000D69">
              <w:rPr>
                <w:rFonts w:eastAsia="Times New Roman" w:cs="Arial"/>
                <w:color w:val="000000"/>
                <w:sz w:val="20"/>
                <w:szCs w:val="20"/>
                <w:lang w:eastAsia="de-CH"/>
              </w:rPr>
              <w:t>.</w:t>
            </w:r>
            <w:r>
              <w:rPr>
                <w:rFonts w:eastAsia="Times New Roman" w:cs="Arial"/>
                <w:color w:val="000000"/>
                <w:sz w:val="20"/>
                <w:szCs w:val="20"/>
                <w:lang w:eastAsia="de-CH"/>
              </w:rPr>
              <w:t>–</w:t>
            </w:r>
          </w:p>
        </w:tc>
      </w:tr>
      <w:tr w:rsidR="0076368D" w:rsidRPr="00731C45" w14:paraId="1F58439F" w14:textId="77777777" w:rsidTr="005851DB">
        <w:trPr>
          <w:trHeight w:val="419"/>
        </w:trPr>
        <w:tc>
          <w:tcPr>
            <w:tcW w:w="128" w:type="pct"/>
            <w:tcBorders>
              <w:top w:val="nil"/>
              <w:left w:val="nil"/>
              <w:bottom w:val="nil"/>
              <w:right w:val="nil"/>
            </w:tcBorders>
            <w:shd w:val="clear" w:color="auto" w:fill="auto"/>
            <w:noWrap/>
            <w:vAlign w:val="bottom"/>
          </w:tcPr>
          <w:p w14:paraId="5A3684D8" w14:textId="77777777" w:rsidR="0076368D" w:rsidRPr="00731C45" w:rsidRDefault="0076368D" w:rsidP="005851DB">
            <w:pPr>
              <w:tabs>
                <w:tab w:val="clear" w:pos="5103"/>
              </w:tabs>
              <w:spacing w:after="0"/>
              <w:jc w:val="right"/>
              <w:rPr>
                <w:rFonts w:eastAsia="Times New Roman" w:cs="Arial"/>
                <w:color w:val="000000"/>
                <w:sz w:val="20"/>
                <w:szCs w:val="20"/>
                <w:lang w:eastAsia="de-CH"/>
              </w:rPr>
            </w:pPr>
          </w:p>
        </w:tc>
        <w:tc>
          <w:tcPr>
            <w:tcW w:w="4248" w:type="pct"/>
            <w:vMerge/>
            <w:tcBorders>
              <w:left w:val="nil"/>
              <w:bottom w:val="nil"/>
              <w:right w:val="single" w:sz="12" w:space="0" w:color="auto"/>
            </w:tcBorders>
            <w:shd w:val="clear" w:color="auto" w:fill="auto"/>
            <w:noWrap/>
            <w:vAlign w:val="bottom"/>
          </w:tcPr>
          <w:p w14:paraId="78933632" w14:textId="77777777" w:rsidR="0076368D" w:rsidRPr="0025385F" w:rsidRDefault="0076368D" w:rsidP="005851DB">
            <w:pPr>
              <w:tabs>
                <w:tab w:val="clear" w:pos="5103"/>
              </w:tabs>
              <w:spacing w:after="0"/>
              <w:rPr>
                <w:sz w:val="20"/>
                <w:szCs w:val="20"/>
              </w:rPr>
            </w:pPr>
          </w:p>
        </w:tc>
        <w:tc>
          <w:tcPr>
            <w:tcW w:w="624" w:type="pct"/>
            <w:vMerge/>
            <w:tcBorders>
              <w:left w:val="single" w:sz="12" w:space="0" w:color="auto"/>
              <w:bottom w:val="nil"/>
              <w:right w:val="nil"/>
            </w:tcBorders>
            <w:shd w:val="clear" w:color="auto" w:fill="auto"/>
            <w:noWrap/>
            <w:vAlign w:val="bottom"/>
          </w:tcPr>
          <w:p w14:paraId="4293134D" w14:textId="77777777" w:rsidR="0076368D" w:rsidRPr="00731C45" w:rsidRDefault="0076368D" w:rsidP="005851DB">
            <w:pPr>
              <w:tabs>
                <w:tab w:val="clear" w:pos="5103"/>
              </w:tabs>
              <w:spacing w:after="0"/>
              <w:jc w:val="right"/>
              <w:rPr>
                <w:rFonts w:eastAsia="Times New Roman" w:cs="Arial"/>
                <w:color w:val="000000"/>
                <w:sz w:val="20"/>
                <w:szCs w:val="20"/>
                <w:lang w:eastAsia="de-CH"/>
              </w:rPr>
            </w:pPr>
          </w:p>
        </w:tc>
      </w:tr>
      <w:tr w:rsidR="0076368D" w:rsidRPr="00731C45" w14:paraId="03324F17" w14:textId="77777777" w:rsidTr="005851DB">
        <w:trPr>
          <w:trHeight w:val="280"/>
        </w:trPr>
        <w:tc>
          <w:tcPr>
            <w:tcW w:w="128" w:type="pct"/>
            <w:tcBorders>
              <w:top w:val="nil"/>
              <w:left w:val="nil"/>
              <w:bottom w:val="nil"/>
              <w:right w:val="nil"/>
            </w:tcBorders>
            <w:shd w:val="clear" w:color="auto" w:fill="auto"/>
            <w:noWrap/>
            <w:vAlign w:val="bottom"/>
            <w:hideMark/>
          </w:tcPr>
          <w:p w14:paraId="1826EBA7" w14:textId="77777777" w:rsidR="0076368D" w:rsidRPr="00731C45" w:rsidRDefault="0076368D" w:rsidP="005851DB">
            <w:pPr>
              <w:tabs>
                <w:tab w:val="clear" w:pos="5103"/>
              </w:tabs>
              <w:spacing w:after="0"/>
              <w:jc w:val="right"/>
              <w:rPr>
                <w:rFonts w:eastAsia="Times New Roman" w:cs="Arial"/>
                <w:color w:val="000000"/>
                <w:sz w:val="20"/>
                <w:szCs w:val="20"/>
                <w:lang w:eastAsia="de-CH"/>
              </w:rPr>
            </w:pPr>
            <w:r w:rsidRPr="00731C45">
              <w:rPr>
                <w:rFonts w:eastAsia="Times New Roman" w:cs="Arial"/>
                <w:color w:val="000000"/>
                <w:sz w:val="20"/>
                <w:szCs w:val="20"/>
                <w:lang w:eastAsia="de-CH"/>
              </w:rPr>
              <w:t>+</w:t>
            </w:r>
          </w:p>
        </w:tc>
        <w:tc>
          <w:tcPr>
            <w:tcW w:w="4248" w:type="pct"/>
            <w:tcBorders>
              <w:top w:val="nil"/>
              <w:left w:val="nil"/>
              <w:bottom w:val="single" w:sz="4" w:space="0" w:color="auto"/>
              <w:right w:val="single" w:sz="12" w:space="0" w:color="auto"/>
            </w:tcBorders>
            <w:shd w:val="clear" w:color="auto" w:fill="auto"/>
            <w:noWrap/>
            <w:vAlign w:val="bottom"/>
            <w:hideMark/>
          </w:tcPr>
          <w:p w14:paraId="282B24AF" w14:textId="77777777" w:rsidR="0076368D" w:rsidRPr="00731C45" w:rsidRDefault="0076368D" w:rsidP="005851DB">
            <w:pPr>
              <w:tabs>
                <w:tab w:val="clear" w:pos="5103"/>
              </w:tabs>
              <w:spacing w:after="0"/>
              <w:rPr>
                <w:rFonts w:eastAsia="Times New Roman" w:cs="Arial"/>
                <w:color w:val="000000"/>
                <w:sz w:val="20"/>
                <w:szCs w:val="20"/>
                <w:lang w:eastAsia="de-CH"/>
              </w:rPr>
            </w:pPr>
            <w:r w:rsidRPr="00731C45">
              <w:rPr>
                <w:rFonts w:eastAsia="Times New Roman" w:cs="Arial"/>
                <w:color w:val="000000"/>
                <w:sz w:val="20"/>
                <w:szCs w:val="20"/>
                <w:lang w:eastAsia="de-CH"/>
              </w:rPr>
              <w:t>effektive Kosten für familienergänzende Kinderbetreuung</w:t>
            </w:r>
          </w:p>
        </w:tc>
        <w:tc>
          <w:tcPr>
            <w:tcW w:w="624" w:type="pct"/>
            <w:tcBorders>
              <w:top w:val="nil"/>
              <w:left w:val="single" w:sz="12" w:space="0" w:color="auto"/>
              <w:bottom w:val="single" w:sz="4" w:space="0" w:color="auto"/>
              <w:right w:val="nil"/>
            </w:tcBorders>
            <w:shd w:val="clear" w:color="auto" w:fill="auto"/>
            <w:noWrap/>
            <w:vAlign w:val="bottom"/>
            <w:hideMark/>
          </w:tcPr>
          <w:p w14:paraId="1A2B1E33" w14:textId="77777777" w:rsidR="0076368D" w:rsidRPr="00731C45" w:rsidRDefault="0076368D" w:rsidP="005851DB">
            <w:pPr>
              <w:tabs>
                <w:tab w:val="clear" w:pos="5103"/>
              </w:tabs>
              <w:spacing w:after="0"/>
              <w:jc w:val="right"/>
              <w:rPr>
                <w:rFonts w:eastAsia="Times New Roman" w:cs="Arial"/>
                <w:color w:val="000000"/>
                <w:sz w:val="20"/>
                <w:szCs w:val="20"/>
                <w:lang w:eastAsia="de-CH"/>
              </w:rPr>
            </w:pPr>
          </w:p>
        </w:tc>
      </w:tr>
      <w:tr w:rsidR="0076368D" w:rsidRPr="00731C45" w14:paraId="369D9D05" w14:textId="77777777" w:rsidTr="005851DB">
        <w:trPr>
          <w:trHeight w:val="280"/>
        </w:trPr>
        <w:tc>
          <w:tcPr>
            <w:tcW w:w="128" w:type="pct"/>
            <w:tcBorders>
              <w:top w:val="nil"/>
              <w:left w:val="nil"/>
              <w:bottom w:val="nil"/>
              <w:right w:val="nil"/>
            </w:tcBorders>
            <w:shd w:val="clear" w:color="auto" w:fill="auto"/>
            <w:noWrap/>
            <w:vAlign w:val="bottom"/>
            <w:hideMark/>
          </w:tcPr>
          <w:p w14:paraId="3C10E08D" w14:textId="77777777" w:rsidR="0076368D" w:rsidRPr="00731C45" w:rsidRDefault="0076368D" w:rsidP="005851DB">
            <w:pPr>
              <w:tabs>
                <w:tab w:val="clear" w:pos="5103"/>
              </w:tabs>
              <w:spacing w:after="0"/>
              <w:jc w:val="right"/>
              <w:rPr>
                <w:rFonts w:eastAsia="Times New Roman" w:cs="Arial"/>
                <w:color w:val="000000"/>
                <w:sz w:val="20"/>
                <w:szCs w:val="20"/>
                <w:lang w:eastAsia="de-CH"/>
              </w:rPr>
            </w:pPr>
            <w:r w:rsidRPr="00731C45">
              <w:rPr>
                <w:rFonts w:eastAsia="Times New Roman" w:cs="Arial"/>
                <w:color w:val="000000"/>
                <w:sz w:val="20"/>
                <w:szCs w:val="20"/>
                <w:lang w:eastAsia="de-CH"/>
              </w:rPr>
              <w:t>=</w:t>
            </w:r>
          </w:p>
        </w:tc>
        <w:tc>
          <w:tcPr>
            <w:tcW w:w="4248" w:type="pct"/>
            <w:tcBorders>
              <w:top w:val="nil"/>
              <w:left w:val="nil"/>
              <w:bottom w:val="nil"/>
              <w:right w:val="single" w:sz="12" w:space="0" w:color="auto"/>
            </w:tcBorders>
            <w:shd w:val="clear" w:color="auto" w:fill="auto"/>
            <w:noWrap/>
            <w:vAlign w:val="bottom"/>
            <w:hideMark/>
          </w:tcPr>
          <w:p w14:paraId="6E8347BB" w14:textId="77777777" w:rsidR="0076368D" w:rsidRPr="00731C45" w:rsidRDefault="0076368D" w:rsidP="005851DB">
            <w:pPr>
              <w:tabs>
                <w:tab w:val="clear" w:pos="5103"/>
              </w:tabs>
              <w:spacing w:after="0"/>
              <w:rPr>
                <w:rFonts w:eastAsia="Times New Roman" w:cs="Arial"/>
                <w:color w:val="000000"/>
                <w:sz w:val="20"/>
                <w:szCs w:val="20"/>
                <w:lang w:eastAsia="de-CH"/>
              </w:rPr>
            </w:pPr>
            <w:r>
              <w:rPr>
                <w:rFonts w:eastAsia="Times New Roman" w:cs="Arial"/>
                <w:color w:val="000000"/>
                <w:sz w:val="20"/>
                <w:szCs w:val="20"/>
                <w:lang w:eastAsia="de-CH"/>
              </w:rPr>
              <w:t>Einkommensgrenze</w:t>
            </w:r>
          </w:p>
        </w:tc>
        <w:tc>
          <w:tcPr>
            <w:tcW w:w="624" w:type="pct"/>
            <w:tcBorders>
              <w:top w:val="nil"/>
              <w:left w:val="single" w:sz="12" w:space="0" w:color="auto"/>
              <w:bottom w:val="nil"/>
              <w:right w:val="nil"/>
            </w:tcBorders>
            <w:shd w:val="clear" w:color="auto" w:fill="auto"/>
            <w:noWrap/>
            <w:vAlign w:val="bottom"/>
            <w:hideMark/>
          </w:tcPr>
          <w:p w14:paraId="3D63BEDB" w14:textId="12774AB6" w:rsidR="0076368D" w:rsidRPr="00731C45" w:rsidRDefault="00492C79" w:rsidP="00492C79">
            <w:pPr>
              <w:tabs>
                <w:tab w:val="clear" w:pos="5103"/>
              </w:tabs>
              <w:spacing w:after="0"/>
              <w:jc w:val="right"/>
              <w:rPr>
                <w:rFonts w:eastAsia="Times New Roman" w:cs="Arial"/>
                <w:color w:val="000000"/>
                <w:sz w:val="20"/>
                <w:szCs w:val="20"/>
                <w:lang w:eastAsia="de-CH"/>
              </w:rPr>
            </w:pPr>
            <w:r>
              <w:rPr>
                <w:rFonts w:eastAsia="Times New Roman" w:cs="Arial"/>
                <w:color w:val="000000"/>
                <w:sz w:val="20"/>
                <w:szCs w:val="20"/>
                <w:lang w:eastAsia="de-CH"/>
              </w:rPr>
              <w:t>66’238</w:t>
            </w:r>
            <w:r w:rsidR="0076368D" w:rsidRPr="00000D69">
              <w:rPr>
                <w:rFonts w:eastAsia="Times New Roman" w:cs="Arial"/>
                <w:color w:val="000000"/>
                <w:sz w:val="20"/>
                <w:szCs w:val="20"/>
                <w:lang w:eastAsia="de-CH"/>
              </w:rPr>
              <w:t>.</w:t>
            </w:r>
            <w:r w:rsidR="0076368D">
              <w:rPr>
                <w:rFonts w:eastAsia="Times New Roman" w:cs="Arial"/>
                <w:color w:val="000000"/>
                <w:sz w:val="20"/>
                <w:szCs w:val="20"/>
                <w:lang w:eastAsia="de-CH"/>
              </w:rPr>
              <w:t>–</w:t>
            </w:r>
          </w:p>
        </w:tc>
      </w:tr>
      <w:tr w:rsidR="0076368D" w:rsidRPr="00731C45" w14:paraId="0E4D589C" w14:textId="77777777" w:rsidTr="005851DB">
        <w:trPr>
          <w:trHeight w:val="280"/>
        </w:trPr>
        <w:tc>
          <w:tcPr>
            <w:tcW w:w="128" w:type="pct"/>
            <w:tcBorders>
              <w:top w:val="nil"/>
              <w:left w:val="nil"/>
              <w:bottom w:val="nil"/>
              <w:right w:val="nil"/>
            </w:tcBorders>
            <w:shd w:val="clear" w:color="auto" w:fill="auto"/>
            <w:noWrap/>
            <w:vAlign w:val="bottom"/>
            <w:hideMark/>
          </w:tcPr>
          <w:p w14:paraId="579D8AE7" w14:textId="77777777" w:rsidR="0076368D" w:rsidRPr="00731C45" w:rsidRDefault="0076368D" w:rsidP="005851DB">
            <w:pPr>
              <w:tabs>
                <w:tab w:val="clear" w:pos="5103"/>
              </w:tabs>
              <w:spacing w:after="0"/>
              <w:jc w:val="right"/>
              <w:rPr>
                <w:rFonts w:eastAsia="Times New Roman" w:cs="Arial"/>
                <w:color w:val="000000"/>
                <w:sz w:val="20"/>
                <w:szCs w:val="20"/>
                <w:lang w:eastAsia="de-CH"/>
              </w:rPr>
            </w:pPr>
          </w:p>
        </w:tc>
        <w:tc>
          <w:tcPr>
            <w:tcW w:w="4248" w:type="pct"/>
            <w:tcBorders>
              <w:top w:val="nil"/>
              <w:left w:val="nil"/>
              <w:bottom w:val="nil"/>
              <w:right w:val="single" w:sz="12" w:space="0" w:color="auto"/>
            </w:tcBorders>
            <w:shd w:val="clear" w:color="auto" w:fill="auto"/>
            <w:noWrap/>
            <w:vAlign w:val="bottom"/>
            <w:hideMark/>
          </w:tcPr>
          <w:p w14:paraId="51E6A1B3" w14:textId="77777777" w:rsidR="0076368D" w:rsidRPr="00731C45" w:rsidRDefault="0076368D" w:rsidP="005851DB">
            <w:pPr>
              <w:tabs>
                <w:tab w:val="clear" w:pos="5103"/>
              </w:tabs>
              <w:spacing w:after="0"/>
              <w:rPr>
                <w:rFonts w:ascii="Times New Roman" w:eastAsia="Times New Roman" w:hAnsi="Times New Roman" w:cs="Times New Roman"/>
                <w:sz w:val="20"/>
                <w:szCs w:val="20"/>
                <w:lang w:eastAsia="de-CH"/>
              </w:rPr>
            </w:pPr>
          </w:p>
        </w:tc>
        <w:tc>
          <w:tcPr>
            <w:tcW w:w="624" w:type="pct"/>
            <w:tcBorders>
              <w:top w:val="nil"/>
              <w:left w:val="single" w:sz="12" w:space="0" w:color="auto"/>
              <w:bottom w:val="nil"/>
              <w:right w:val="nil"/>
            </w:tcBorders>
            <w:shd w:val="clear" w:color="auto" w:fill="auto"/>
            <w:noWrap/>
            <w:vAlign w:val="bottom"/>
            <w:hideMark/>
          </w:tcPr>
          <w:p w14:paraId="17D62B71" w14:textId="77777777" w:rsidR="0076368D" w:rsidRPr="00731C45" w:rsidRDefault="0076368D" w:rsidP="005851DB">
            <w:pPr>
              <w:tabs>
                <w:tab w:val="clear" w:pos="5103"/>
              </w:tabs>
              <w:spacing w:after="0"/>
              <w:rPr>
                <w:rFonts w:eastAsia="Times New Roman" w:cs="Arial"/>
                <w:color w:val="000000"/>
                <w:sz w:val="20"/>
                <w:szCs w:val="20"/>
                <w:lang w:eastAsia="de-CH"/>
              </w:rPr>
            </w:pPr>
            <w:r w:rsidRPr="00731C45">
              <w:rPr>
                <w:rFonts w:eastAsia="Times New Roman" w:cs="Arial"/>
                <w:color w:val="000000"/>
                <w:sz w:val="20"/>
                <w:szCs w:val="20"/>
                <w:lang w:eastAsia="de-CH"/>
              </w:rPr>
              <w:t> </w:t>
            </w:r>
          </w:p>
        </w:tc>
      </w:tr>
      <w:tr w:rsidR="0076368D" w:rsidRPr="00731C45" w14:paraId="46F679B0" w14:textId="77777777" w:rsidTr="005851DB">
        <w:trPr>
          <w:trHeight w:val="280"/>
        </w:trPr>
        <w:tc>
          <w:tcPr>
            <w:tcW w:w="4376" w:type="pct"/>
            <w:gridSpan w:val="2"/>
            <w:tcBorders>
              <w:top w:val="nil"/>
              <w:left w:val="nil"/>
              <w:bottom w:val="single" w:sz="12" w:space="0" w:color="auto"/>
              <w:right w:val="single" w:sz="12" w:space="0" w:color="auto"/>
            </w:tcBorders>
            <w:shd w:val="clear" w:color="auto" w:fill="auto"/>
            <w:noWrap/>
            <w:vAlign w:val="bottom"/>
            <w:hideMark/>
          </w:tcPr>
          <w:p w14:paraId="484D01E2" w14:textId="77777777" w:rsidR="0076368D" w:rsidRPr="00D81A14" w:rsidRDefault="0076368D" w:rsidP="005851DB">
            <w:pPr>
              <w:tabs>
                <w:tab w:val="clear" w:pos="5103"/>
              </w:tabs>
              <w:spacing w:after="0"/>
              <w:rPr>
                <w:rFonts w:eastAsia="Times New Roman" w:cs="Arial"/>
                <w:b/>
                <w:color w:val="000000"/>
                <w:sz w:val="20"/>
                <w:szCs w:val="20"/>
                <w:lang w:eastAsia="de-CH"/>
              </w:rPr>
            </w:pPr>
            <w:r>
              <w:rPr>
                <w:rFonts w:eastAsia="Times New Roman" w:cs="Arial"/>
                <w:b/>
                <w:color w:val="000000"/>
                <w:sz w:val="20"/>
                <w:szCs w:val="20"/>
                <w:lang w:eastAsia="de-CH"/>
              </w:rPr>
              <w:t>Vermögensgrenze</w:t>
            </w:r>
          </w:p>
        </w:tc>
        <w:tc>
          <w:tcPr>
            <w:tcW w:w="624" w:type="pct"/>
            <w:tcBorders>
              <w:top w:val="nil"/>
              <w:left w:val="single" w:sz="12" w:space="0" w:color="auto"/>
              <w:bottom w:val="single" w:sz="12" w:space="0" w:color="auto"/>
              <w:right w:val="nil"/>
            </w:tcBorders>
            <w:shd w:val="clear" w:color="auto" w:fill="auto"/>
            <w:noWrap/>
            <w:vAlign w:val="bottom"/>
            <w:hideMark/>
          </w:tcPr>
          <w:p w14:paraId="4D4E1132" w14:textId="77777777" w:rsidR="0076368D" w:rsidRPr="00731C45" w:rsidRDefault="0076368D" w:rsidP="005851DB">
            <w:pPr>
              <w:tabs>
                <w:tab w:val="clear" w:pos="5103"/>
              </w:tabs>
              <w:spacing w:after="0"/>
              <w:rPr>
                <w:rFonts w:eastAsia="Times New Roman" w:cs="Arial"/>
                <w:color w:val="000000"/>
                <w:sz w:val="20"/>
                <w:szCs w:val="20"/>
                <w:lang w:eastAsia="de-CH"/>
              </w:rPr>
            </w:pPr>
            <w:r w:rsidRPr="00731C45">
              <w:rPr>
                <w:rFonts w:eastAsia="Times New Roman" w:cs="Arial"/>
                <w:color w:val="000000"/>
                <w:sz w:val="20"/>
                <w:szCs w:val="20"/>
                <w:lang w:eastAsia="de-CH"/>
              </w:rPr>
              <w:t> </w:t>
            </w:r>
          </w:p>
        </w:tc>
      </w:tr>
      <w:tr w:rsidR="0076368D" w:rsidRPr="00731C45" w14:paraId="0EE1028A" w14:textId="77777777" w:rsidTr="005851DB">
        <w:trPr>
          <w:trHeight w:val="280"/>
        </w:trPr>
        <w:tc>
          <w:tcPr>
            <w:tcW w:w="128" w:type="pct"/>
            <w:tcBorders>
              <w:top w:val="single" w:sz="12" w:space="0" w:color="auto"/>
              <w:left w:val="nil"/>
              <w:bottom w:val="nil"/>
              <w:right w:val="nil"/>
            </w:tcBorders>
            <w:shd w:val="clear" w:color="auto" w:fill="auto"/>
            <w:noWrap/>
            <w:vAlign w:val="bottom"/>
            <w:hideMark/>
          </w:tcPr>
          <w:p w14:paraId="78A73C8F" w14:textId="77777777" w:rsidR="0076368D" w:rsidRPr="00731C45" w:rsidRDefault="0076368D" w:rsidP="005851DB">
            <w:pPr>
              <w:tabs>
                <w:tab w:val="clear" w:pos="5103"/>
              </w:tabs>
              <w:spacing w:after="0"/>
              <w:rPr>
                <w:rFonts w:eastAsia="Times New Roman" w:cs="Arial"/>
                <w:color w:val="000000"/>
                <w:sz w:val="20"/>
                <w:szCs w:val="20"/>
                <w:lang w:eastAsia="de-CH"/>
              </w:rPr>
            </w:pPr>
          </w:p>
        </w:tc>
        <w:tc>
          <w:tcPr>
            <w:tcW w:w="4248" w:type="pct"/>
            <w:tcBorders>
              <w:top w:val="single" w:sz="12" w:space="0" w:color="auto"/>
              <w:left w:val="nil"/>
              <w:bottom w:val="nil"/>
              <w:right w:val="single" w:sz="12" w:space="0" w:color="auto"/>
            </w:tcBorders>
            <w:shd w:val="clear" w:color="auto" w:fill="auto"/>
            <w:noWrap/>
            <w:vAlign w:val="bottom"/>
            <w:hideMark/>
          </w:tcPr>
          <w:p w14:paraId="42CB422B" w14:textId="77777777" w:rsidR="0076368D" w:rsidRPr="00731C45" w:rsidRDefault="0076368D" w:rsidP="005851DB">
            <w:pPr>
              <w:tabs>
                <w:tab w:val="clear" w:pos="5103"/>
              </w:tabs>
              <w:spacing w:after="0"/>
              <w:rPr>
                <w:rFonts w:eastAsia="Times New Roman" w:cs="Arial"/>
                <w:color w:val="000000"/>
                <w:sz w:val="20"/>
                <w:szCs w:val="20"/>
                <w:lang w:eastAsia="de-CH"/>
              </w:rPr>
            </w:pPr>
            <w:r w:rsidRPr="00731C45">
              <w:rPr>
                <w:rFonts w:eastAsia="Times New Roman" w:cs="Arial"/>
                <w:color w:val="000000"/>
                <w:sz w:val="20"/>
                <w:szCs w:val="20"/>
                <w:lang w:eastAsia="de-CH"/>
              </w:rPr>
              <w:t>entspricht dem fünffachen des Vermögensfreibetrags in der Sozialhilfe</w:t>
            </w:r>
          </w:p>
        </w:tc>
        <w:tc>
          <w:tcPr>
            <w:tcW w:w="624" w:type="pct"/>
            <w:tcBorders>
              <w:top w:val="single" w:sz="12" w:space="0" w:color="auto"/>
              <w:left w:val="single" w:sz="12" w:space="0" w:color="auto"/>
              <w:bottom w:val="nil"/>
              <w:right w:val="nil"/>
            </w:tcBorders>
            <w:shd w:val="clear" w:color="auto" w:fill="auto"/>
            <w:noWrap/>
            <w:vAlign w:val="bottom"/>
            <w:hideMark/>
          </w:tcPr>
          <w:p w14:paraId="0AB64E28" w14:textId="77777777" w:rsidR="0076368D" w:rsidRPr="00731C45" w:rsidRDefault="0076368D" w:rsidP="005851DB">
            <w:pPr>
              <w:tabs>
                <w:tab w:val="clear" w:pos="5103"/>
              </w:tabs>
              <w:spacing w:after="0"/>
              <w:jc w:val="right"/>
              <w:rPr>
                <w:rFonts w:eastAsia="Times New Roman" w:cs="Arial"/>
                <w:color w:val="000000"/>
                <w:sz w:val="20"/>
                <w:szCs w:val="20"/>
                <w:lang w:eastAsia="de-CH"/>
              </w:rPr>
            </w:pPr>
            <w:r w:rsidRPr="00731C45">
              <w:rPr>
                <w:rFonts w:eastAsia="Times New Roman" w:cs="Arial"/>
                <w:color w:val="000000"/>
                <w:sz w:val="20"/>
                <w:szCs w:val="20"/>
                <w:lang w:eastAsia="de-CH"/>
              </w:rPr>
              <w:t>23</w:t>
            </w:r>
            <w:r w:rsidRPr="00000D69">
              <w:rPr>
                <w:rFonts w:eastAsia="Times New Roman" w:cs="Arial"/>
                <w:color w:val="000000"/>
                <w:sz w:val="20"/>
                <w:szCs w:val="20"/>
                <w:lang w:eastAsia="de-CH"/>
              </w:rPr>
              <w:t>’</w:t>
            </w:r>
            <w:r w:rsidRPr="00731C45">
              <w:rPr>
                <w:rFonts w:eastAsia="Times New Roman" w:cs="Arial"/>
                <w:color w:val="000000"/>
                <w:sz w:val="20"/>
                <w:szCs w:val="20"/>
                <w:lang w:eastAsia="de-CH"/>
              </w:rPr>
              <w:t>500</w:t>
            </w:r>
            <w:r w:rsidRPr="00000D69">
              <w:rPr>
                <w:rFonts w:eastAsia="Times New Roman" w:cs="Arial"/>
                <w:color w:val="000000"/>
                <w:sz w:val="20"/>
                <w:szCs w:val="20"/>
                <w:lang w:eastAsia="de-CH"/>
              </w:rPr>
              <w:t>.</w:t>
            </w:r>
            <w:r>
              <w:rPr>
                <w:rFonts w:eastAsia="Times New Roman" w:cs="Arial"/>
                <w:color w:val="000000"/>
                <w:sz w:val="20"/>
                <w:szCs w:val="20"/>
                <w:lang w:eastAsia="de-CH"/>
              </w:rPr>
              <w:t>–</w:t>
            </w:r>
          </w:p>
        </w:tc>
      </w:tr>
      <w:tr w:rsidR="0076368D" w:rsidRPr="00731C45" w14:paraId="1DA73C65" w14:textId="77777777" w:rsidTr="005851DB">
        <w:trPr>
          <w:trHeight w:val="280"/>
        </w:trPr>
        <w:tc>
          <w:tcPr>
            <w:tcW w:w="128" w:type="pct"/>
            <w:tcBorders>
              <w:top w:val="nil"/>
              <w:left w:val="nil"/>
              <w:bottom w:val="nil"/>
              <w:right w:val="nil"/>
            </w:tcBorders>
            <w:shd w:val="clear" w:color="auto" w:fill="auto"/>
            <w:noWrap/>
            <w:vAlign w:val="bottom"/>
            <w:hideMark/>
          </w:tcPr>
          <w:p w14:paraId="692B2FD6" w14:textId="77777777" w:rsidR="0076368D" w:rsidRPr="00731C45" w:rsidRDefault="0076368D" w:rsidP="005851DB">
            <w:pPr>
              <w:tabs>
                <w:tab w:val="clear" w:pos="5103"/>
              </w:tabs>
              <w:spacing w:after="0"/>
              <w:jc w:val="right"/>
              <w:rPr>
                <w:rFonts w:eastAsia="Times New Roman" w:cs="Arial"/>
                <w:color w:val="000000"/>
                <w:sz w:val="20"/>
                <w:szCs w:val="20"/>
                <w:lang w:eastAsia="de-CH"/>
              </w:rPr>
            </w:pPr>
          </w:p>
        </w:tc>
        <w:tc>
          <w:tcPr>
            <w:tcW w:w="4248" w:type="pct"/>
            <w:tcBorders>
              <w:top w:val="nil"/>
              <w:left w:val="nil"/>
              <w:bottom w:val="nil"/>
              <w:right w:val="single" w:sz="12" w:space="0" w:color="auto"/>
            </w:tcBorders>
            <w:shd w:val="clear" w:color="auto" w:fill="auto"/>
            <w:noWrap/>
            <w:vAlign w:val="bottom"/>
            <w:hideMark/>
          </w:tcPr>
          <w:p w14:paraId="38D71E6D" w14:textId="77777777" w:rsidR="0076368D" w:rsidRPr="00731C45" w:rsidRDefault="0076368D" w:rsidP="005851DB">
            <w:pPr>
              <w:tabs>
                <w:tab w:val="clear" w:pos="5103"/>
              </w:tabs>
              <w:spacing w:after="0"/>
              <w:rPr>
                <w:rFonts w:ascii="Times New Roman" w:eastAsia="Times New Roman" w:hAnsi="Times New Roman" w:cs="Times New Roman"/>
                <w:sz w:val="20"/>
                <w:szCs w:val="20"/>
                <w:lang w:eastAsia="de-CH"/>
              </w:rPr>
            </w:pPr>
          </w:p>
        </w:tc>
        <w:tc>
          <w:tcPr>
            <w:tcW w:w="624" w:type="pct"/>
            <w:tcBorders>
              <w:top w:val="nil"/>
              <w:left w:val="single" w:sz="12" w:space="0" w:color="auto"/>
              <w:bottom w:val="nil"/>
              <w:right w:val="nil"/>
            </w:tcBorders>
            <w:shd w:val="clear" w:color="auto" w:fill="auto"/>
            <w:noWrap/>
            <w:vAlign w:val="bottom"/>
            <w:hideMark/>
          </w:tcPr>
          <w:p w14:paraId="2FB714D7" w14:textId="77777777" w:rsidR="0076368D" w:rsidRPr="00731C45" w:rsidRDefault="0076368D" w:rsidP="005851DB">
            <w:pPr>
              <w:tabs>
                <w:tab w:val="clear" w:pos="5103"/>
              </w:tabs>
              <w:spacing w:after="0"/>
              <w:rPr>
                <w:rFonts w:eastAsia="Times New Roman" w:cs="Arial"/>
                <w:color w:val="000000"/>
                <w:sz w:val="20"/>
                <w:szCs w:val="20"/>
                <w:lang w:eastAsia="de-CH"/>
              </w:rPr>
            </w:pPr>
            <w:r w:rsidRPr="00731C45">
              <w:rPr>
                <w:rFonts w:eastAsia="Times New Roman" w:cs="Arial"/>
                <w:color w:val="000000"/>
                <w:sz w:val="20"/>
                <w:szCs w:val="20"/>
                <w:lang w:eastAsia="de-CH"/>
              </w:rPr>
              <w:t> </w:t>
            </w:r>
          </w:p>
        </w:tc>
      </w:tr>
      <w:tr w:rsidR="0076368D" w:rsidRPr="00731C45" w14:paraId="6F66242E" w14:textId="77777777" w:rsidTr="005851DB">
        <w:trPr>
          <w:trHeight w:val="280"/>
        </w:trPr>
        <w:tc>
          <w:tcPr>
            <w:tcW w:w="4376" w:type="pct"/>
            <w:gridSpan w:val="2"/>
            <w:tcBorders>
              <w:top w:val="nil"/>
              <w:left w:val="nil"/>
              <w:bottom w:val="single" w:sz="12" w:space="0" w:color="auto"/>
              <w:right w:val="single" w:sz="12" w:space="0" w:color="auto"/>
            </w:tcBorders>
            <w:shd w:val="clear" w:color="auto" w:fill="auto"/>
            <w:noWrap/>
            <w:vAlign w:val="bottom"/>
            <w:hideMark/>
          </w:tcPr>
          <w:p w14:paraId="33C4C2B0" w14:textId="77777777" w:rsidR="0076368D" w:rsidRPr="00D81A14" w:rsidRDefault="0076368D" w:rsidP="005851DB">
            <w:pPr>
              <w:tabs>
                <w:tab w:val="clear" w:pos="5103"/>
              </w:tabs>
              <w:spacing w:after="0"/>
              <w:rPr>
                <w:rFonts w:eastAsia="Times New Roman" w:cs="Arial"/>
                <w:b/>
                <w:color w:val="000000"/>
                <w:sz w:val="20"/>
                <w:szCs w:val="20"/>
                <w:lang w:eastAsia="de-CH"/>
              </w:rPr>
            </w:pPr>
            <w:r>
              <w:rPr>
                <w:rFonts w:eastAsia="Times New Roman" w:cs="Arial"/>
                <w:b/>
                <w:color w:val="000000"/>
                <w:sz w:val="20"/>
                <w:szCs w:val="20"/>
                <w:lang w:eastAsia="de-CH"/>
              </w:rPr>
              <w:t>Massgebliches</w:t>
            </w:r>
            <w:r w:rsidRPr="00D81A14">
              <w:rPr>
                <w:rFonts w:eastAsia="Times New Roman" w:cs="Arial"/>
                <w:b/>
                <w:color w:val="000000"/>
                <w:sz w:val="20"/>
                <w:szCs w:val="20"/>
                <w:lang w:eastAsia="de-CH"/>
              </w:rPr>
              <w:t xml:space="preserve"> Einkommen</w:t>
            </w:r>
          </w:p>
        </w:tc>
        <w:tc>
          <w:tcPr>
            <w:tcW w:w="624" w:type="pct"/>
            <w:tcBorders>
              <w:top w:val="nil"/>
              <w:left w:val="single" w:sz="12" w:space="0" w:color="auto"/>
              <w:bottom w:val="single" w:sz="12" w:space="0" w:color="auto"/>
              <w:right w:val="nil"/>
            </w:tcBorders>
            <w:shd w:val="clear" w:color="auto" w:fill="auto"/>
            <w:noWrap/>
            <w:vAlign w:val="bottom"/>
            <w:hideMark/>
          </w:tcPr>
          <w:p w14:paraId="1E6DA52B" w14:textId="77777777" w:rsidR="0076368D" w:rsidRPr="00731C45" w:rsidRDefault="0076368D" w:rsidP="005851DB">
            <w:pPr>
              <w:tabs>
                <w:tab w:val="clear" w:pos="5103"/>
              </w:tabs>
              <w:spacing w:after="0"/>
              <w:rPr>
                <w:rFonts w:eastAsia="Times New Roman" w:cs="Arial"/>
                <w:color w:val="000000"/>
                <w:sz w:val="20"/>
                <w:szCs w:val="20"/>
                <w:lang w:eastAsia="de-CH"/>
              </w:rPr>
            </w:pPr>
            <w:r w:rsidRPr="00731C45">
              <w:rPr>
                <w:rFonts w:eastAsia="Times New Roman" w:cs="Arial"/>
                <w:color w:val="000000"/>
                <w:sz w:val="20"/>
                <w:szCs w:val="20"/>
                <w:lang w:eastAsia="de-CH"/>
              </w:rPr>
              <w:t> </w:t>
            </w:r>
          </w:p>
        </w:tc>
      </w:tr>
      <w:tr w:rsidR="0076368D" w:rsidRPr="00731C45" w14:paraId="07DB6544" w14:textId="77777777" w:rsidTr="005851DB">
        <w:trPr>
          <w:trHeight w:val="280"/>
        </w:trPr>
        <w:tc>
          <w:tcPr>
            <w:tcW w:w="128" w:type="pct"/>
            <w:tcBorders>
              <w:top w:val="single" w:sz="12" w:space="0" w:color="auto"/>
              <w:left w:val="nil"/>
              <w:bottom w:val="nil"/>
              <w:right w:val="nil"/>
            </w:tcBorders>
            <w:shd w:val="clear" w:color="auto" w:fill="auto"/>
            <w:noWrap/>
            <w:vAlign w:val="bottom"/>
            <w:hideMark/>
          </w:tcPr>
          <w:p w14:paraId="3C86F671" w14:textId="77777777" w:rsidR="0076368D" w:rsidRPr="00731C45" w:rsidRDefault="0076368D" w:rsidP="005851DB">
            <w:pPr>
              <w:tabs>
                <w:tab w:val="clear" w:pos="5103"/>
              </w:tabs>
              <w:spacing w:after="0"/>
              <w:rPr>
                <w:rFonts w:eastAsia="Times New Roman" w:cs="Arial"/>
                <w:color w:val="000000"/>
                <w:sz w:val="20"/>
                <w:szCs w:val="20"/>
                <w:lang w:eastAsia="de-CH"/>
              </w:rPr>
            </w:pPr>
          </w:p>
        </w:tc>
        <w:tc>
          <w:tcPr>
            <w:tcW w:w="4248" w:type="pct"/>
            <w:tcBorders>
              <w:top w:val="single" w:sz="12" w:space="0" w:color="auto"/>
              <w:left w:val="nil"/>
              <w:bottom w:val="nil"/>
              <w:right w:val="single" w:sz="12" w:space="0" w:color="auto"/>
            </w:tcBorders>
            <w:shd w:val="clear" w:color="auto" w:fill="auto"/>
            <w:noWrap/>
            <w:vAlign w:val="bottom"/>
            <w:hideMark/>
          </w:tcPr>
          <w:p w14:paraId="20A91F19" w14:textId="77777777" w:rsidR="0076368D" w:rsidRPr="00731C45" w:rsidRDefault="0076368D" w:rsidP="005851DB">
            <w:pPr>
              <w:tabs>
                <w:tab w:val="clear" w:pos="5103"/>
              </w:tabs>
              <w:spacing w:after="0"/>
              <w:rPr>
                <w:rFonts w:eastAsia="Times New Roman" w:cs="Arial"/>
                <w:color w:val="000000"/>
                <w:sz w:val="20"/>
                <w:szCs w:val="20"/>
                <w:lang w:eastAsia="de-CH"/>
              </w:rPr>
            </w:pPr>
            <w:r w:rsidRPr="00731C45">
              <w:rPr>
                <w:rFonts w:eastAsia="Times New Roman" w:cs="Arial"/>
                <w:color w:val="000000"/>
                <w:sz w:val="20"/>
                <w:szCs w:val="20"/>
                <w:lang w:eastAsia="de-CH"/>
              </w:rPr>
              <w:t xml:space="preserve">130 % SH-Grundbedarf </w:t>
            </w:r>
          </w:p>
        </w:tc>
        <w:tc>
          <w:tcPr>
            <w:tcW w:w="624" w:type="pct"/>
            <w:tcBorders>
              <w:top w:val="single" w:sz="12" w:space="0" w:color="auto"/>
              <w:left w:val="single" w:sz="12" w:space="0" w:color="auto"/>
              <w:bottom w:val="nil"/>
              <w:right w:val="nil"/>
            </w:tcBorders>
            <w:shd w:val="clear" w:color="auto" w:fill="auto"/>
            <w:noWrap/>
            <w:vAlign w:val="bottom"/>
            <w:hideMark/>
          </w:tcPr>
          <w:p w14:paraId="131AD7F4" w14:textId="5EDFA8FF" w:rsidR="0076368D" w:rsidRPr="00731C45" w:rsidRDefault="00192DE9" w:rsidP="00192DE9">
            <w:pPr>
              <w:tabs>
                <w:tab w:val="clear" w:pos="5103"/>
              </w:tabs>
              <w:spacing w:after="0"/>
              <w:jc w:val="right"/>
              <w:rPr>
                <w:rFonts w:eastAsia="Times New Roman" w:cs="Arial"/>
                <w:color w:val="000000"/>
                <w:sz w:val="20"/>
                <w:szCs w:val="20"/>
                <w:lang w:eastAsia="de-CH"/>
              </w:rPr>
            </w:pPr>
            <w:r w:rsidRPr="00731C45">
              <w:rPr>
                <w:rFonts w:eastAsia="Times New Roman" w:cs="Arial"/>
                <w:color w:val="000000"/>
                <w:sz w:val="20"/>
                <w:szCs w:val="20"/>
                <w:lang w:eastAsia="de-CH"/>
              </w:rPr>
              <w:t>3</w:t>
            </w:r>
            <w:r>
              <w:rPr>
                <w:rFonts w:eastAsia="Times New Roman" w:cs="Arial"/>
                <w:color w:val="000000"/>
                <w:sz w:val="20"/>
                <w:szCs w:val="20"/>
                <w:lang w:eastAsia="de-CH"/>
              </w:rPr>
              <w:t>4</w:t>
            </w:r>
            <w:r w:rsidRPr="00000D69">
              <w:rPr>
                <w:rFonts w:eastAsia="Times New Roman" w:cs="Arial"/>
                <w:color w:val="000000"/>
                <w:sz w:val="20"/>
                <w:szCs w:val="20"/>
                <w:lang w:eastAsia="de-CH"/>
              </w:rPr>
              <w:t>’</w:t>
            </w:r>
            <w:r>
              <w:rPr>
                <w:rFonts w:eastAsia="Times New Roman" w:cs="Arial"/>
                <w:color w:val="000000"/>
                <w:sz w:val="20"/>
                <w:szCs w:val="20"/>
                <w:lang w:eastAsia="de-CH"/>
              </w:rPr>
              <w:t>414</w:t>
            </w:r>
            <w:r w:rsidR="0076368D" w:rsidRPr="00000D69">
              <w:rPr>
                <w:rFonts w:eastAsia="Times New Roman" w:cs="Arial"/>
                <w:color w:val="000000"/>
                <w:sz w:val="20"/>
                <w:szCs w:val="20"/>
                <w:lang w:eastAsia="de-CH"/>
              </w:rPr>
              <w:t>.</w:t>
            </w:r>
            <w:r w:rsidR="0076368D">
              <w:rPr>
                <w:rFonts w:eastAsia="Times New Roman" w:cs="Arial"/>
                <w:color w:val="000000"/>
                <w:sz w:val="20"/>
                <w:szCs w:val="20"/>
                <w:lang w:eastAsia="de-CH"/>
              </w:rPr>
              <w:t>–</w:t>
            </w:r>
          </w:p>
        </w:tc>
      </w:tr>
      <w:tr w:rsidR="0076368D" w:rsidRPr="00731C45" w14:paraId="2FF70473" w14:textId="77777777" w:rsidTr="005851DB">
        <w:trPr>
          <w:trHeight w:val="280"/>
        </w:trPr>
        <w:tc>
          <w:tcPr>
            <w:tcW w:w="128" w:type="pct"/>
            <w:tcBorders>
              <w:top w:val="nil"/>
              <w:left w:val="nil"/>
              <w:bottom w:val="nil"/>
              <w:right w:val="nil"/>
            </w:tcBorders>
            <w:shd w:val="clear" w:color="auto" w:fill="auto"/>
            <w:noWrap/>
            <w:vAlign w:val="bottom"/>
            <w:hideMark/>
          </w:tcPr>
          <w:p w14:paraId="06C888F8" w14:textId="77777777" w:rsidR="0076368D" w:rsidRPr="00731C45" w:rsidRDefault="0076368D" w:rsidP="005851DB">
            <w:pPr>
              <w:tabs>
                <w:tab w:val="clear" w:pos="5103"/>
              </w:tabs>
              <w:spacing w:after="0"/>
              <w:jc w:val="right"/>
              <w:rPr>
                <w:rFonts w:eastAsia="Times New Roman" w:cs="Arial"/>
                <w:color w:val="000000"/>
                <w:sz w:val="20"/>
                <w:szCs w:val="20"/>
                <w:lang w:eastAsia="de-CH"/>
              </w:rPr>
            </w:pPr>
            <w:r w:rsidRPr="00731C45">
              <w:rPr>
                <w:rFonts w:eastAsia="Times New Roman" w:cs="Arial"/>
                <w:color w:val="000000"/>
                <w:sz w:val="20"/>
                <w:szCs w:val="20"/>
                <w:lang w:eastAsia="de-CH"/>
              </w:rPr>
              <w:t>+</w:t>
            </w:r>
          </w:p>
        </w:tc>
        <w:tc>
          <w:tcPr>
            <w:tcW w:w="4248" w:type="pct"/>
            <w:tcBorders>
              <w:top w:val="nil"/>
              <w:left w:val="nil"/>
              <w:bottom w:val="single" w:sz="4" w:space="0" w:color="auto"/>
              <w:right w:val="single" w:sz="12" w:space="0" w:color="auto"/>
            </w:tcBorders>
            <w:shd w:val="clear" w:color="auto" w:fill="auto"/>
            <w:noWrap/>
            <w:vAlign w:val="bottom"/>
            <w:hideMark/>
          </w:tcPr>
          <w:p w14:paraId="563B4C76" w14:textId="77777777" w:rsidR="0076368D" w:rsidRPr="00731C45" w:rsidRDefault="0076368D" w:rsidP="005851DB">
            <w:pPr>
              <w:tabs>
                <w:tab w:val="clear" w:pos="5103"/>
              </w:tabs>
              <w:spacing w:after="0"/>
              <w:rPr>
                <w:rFonts w:eastAsia="Times New Roman" w:cs="Arial"/>
                <w:color w:val="000000"/>
                <w:sz w:val="20"/>
                <w:szCs w:val="20"/>
                <w:lang w:eastAsia="de-CH"/>
              </w:rPr>
            </w:pPr>
            <w:r>
              <w:rPr>
                <w:rFonts w:eastAsia="Times New Roman" w:cs="Arial"/>
                <w:color w:val="000000"/>
                <w:sz w:val="20"/>
                <w:szCs w:val="20"/>
                <w:lang w:eastAsia="de-CH"/>
              </w:rPr>
              <w:t>75 % * (J</w:t>
            </w:r>
            <w:r w:rsidRPr="00731C45">
              <w:rPr>
                <w:rFonts w:eastAsia="Times New Roman" w:cs="Arial"/>
                <w:color w:val="000000"/>
                <w:sz w:val="20"/>
                <w:szCs w:val="20"/>
                <w:lang w:eastAsia="de-CH"/>
              </w:rPr>
              <w:t>ahres</w:t>
            </w:r>
            <w:r>
              <w:rPr>
                <w:rFonts w:eastAsia="Times New Roman" w:cs="Arial"/>
                <w:color w:val="000000"/>
                <w:sz w:val="20"/>
                <w:szCs w:val="20"/>
                <w:lang w:eastAsia="de-CH"/>
              </w:rPr>
              <w:t>netto</w:t>
            </w:r>
            <w:r w:rsidRPr="00731C45">
              <w:rPr>
                <w:rFonts w:eastAsia="Times New Roman" w:cs="Arial"/>
                <w:color w:val="000000"/>
                <w:sz w:val="20"/>
                <w:szCs w:val="20"/>
                <w:lang w:eastAsia="de-CH"/>
              </w:rPr>
              <w:t>einkommen - 130 % SH-Grundbedarf)</w:t>
            </w:r>
          </w:p>
        </w:tc>
        <w:tc>
          <w:tcPr>
            <w:tcW w:w="624" w:type="pct"/>
            <w:tcBorders>
              <w:top w:val="nil"/>
              <w:left w:val="single" w:sz="12" w:space="0" w:color="auto"/>
              <w:bottom w:val="single" w:sz="4" w:space="0" w:color="auto"/>
              <w:right w:val="nil"/>
            </w:tcBorders>
            <w:shd w:val="clear" w:color="auto" w:fill="auto"/>
            <w:noWrap/>
            <w:vAlign w:val="bottom"/>
            <w:hideMark/>
          </w:tcPr>
          <w:p w14:paraId="3BF137D0" w14:textId="64036313" w:rsidR="0076368D" w:rsidRPr="00731C45" w:rsidRDefault="00192DE9" w:rsidP="00192DE9">
            <w:pPr>
              <w:tabs>
                <w:tab w:val="clear" w:pos="5103"/>
              </w:tabs>
              <w:spacing w:after="0"/>
              <w:jc w:val="right"/>
              <w:rPr>
                <w:rFonts w:eastAsia="Times New Roman" w:cs="Arial"/>
                <w:color w:val="000000"/>
                <w:sz w:val="20"/>
                <w:szCs w:val="20"/>
                <w:lang w:eastAsia="de-CH"/>
              </w:rPr>
            </w:pPr>
            <w:r>
              <w:rPr>
                <w:rFonts w:eastAsia="Times New Roman" w:cs="Arial"/>
                <w:color w:val="000000"/>
                <w:sz w:val="20"/>
                <w:szCs w:val="20"/>
                <w:lang w:eastAsia="de-CH"/>
              </w:rPr>
              <w:t>19’190</w:t>
            </w:r>
            <w:r w:rsidR="0076368D" w:rsidRPr="00000D69">
              <w:rPr>
                <w:rFonts w:eastAsia="Times New Roman" w:cs="Arial"/>
                <w:color w:val="000000"/>
                <w:sz w:val="20"/>
                <w:szCs w:val="20"/>
                <w:lang w:eastAsia="de-CH"/>
              </w:rPr>
              <w:t>.</w:t>
            </w:r>
            <w:r w:rsidR="0076368D">
              <w:rPr>
                <w:rFonts w:eastAsia="Times New Roman" w:cs="Arial"/>
                <w:color w:val="000000"/>
                <w:sz w:val="20"/>
                <w:szCs w:val="20"/>
                <w:lang w:eastAsia="de-CH"/>
              </w:rPr>
              <w:t>–</w:t>
            </w:r>
          </w:p>
        </w:tc>
      </w:tr>
      <w:tr w:rsidR="0076368D" w:rsidRPr="00731C45" w14:paraId="787281DC" w14:textId="77777777" w:rsidTr="005851DB">
        <w:trPr>
          <w:trHeight w:val="280"/>
        </w:trPr>
        <w:tc>
          <w:tcPr>
            <w:tcW w:w="128" w:type="pct"/>
            <w:tcBorders>
              <w:top w:val="nil"/>
              <w:left w:val="nil"/>
              <w:bottom w:val="nil"/>
              <w:right w:val="nil"/>
            </w:tcBorders>
            <w:shd w:val="clear" w:color="auto" w:fill="auto"/>
            <w:noWrap/>
            <w:vAlign w:val="bottom"/>
            <w:hideMark/>
          </w:tcPr>
          <w:p w14:paraId="32727A1B" w14:textId="77777777" w:rsidR="0076368D" w:rsidRPr="00731C45" w:rsidRDefault="0076368D" w:rsidP="005851DB">
            <w:pPr>
              <w:tabs>
                <w:tab w:val="clear" w:pos="5103"/>
              </w:tabs>
              <w:spacing w:after="0"/>
              <w:jc w:val="right"/>
              <w:rPr>
                <w:rFonts w:eastAsia="Times New Roman" w:cs="Arial"/>
                <w:color w:val="000000"/>
                <w:sz w:val="20"/>
                <w:szCs w:val="20"/>
                <w:lang w:eastAsia="de-CH"/>
              </w:rPr>
            </w:pPr>
            <w:r w:rsidRPr="00731C45">
              <w:rPr>
                <w:rFonts w:eastAsia="Times New Roman" w:cs="Arial"/>
                <w:color w:val="000000"/>
                <w:sz w:val="20"/>
                <w:szCs w:val="20"/>
                <w:lang w:eastAsia="de-CH"/>
              </w:rPr>
              <w:t>=</w:t>
            </w:r>
          </w:p>
        </w:tc>
        <w:tc>
          <w:tcPr>
            <w:tcW w:w="4248" w:type="pct"/>
            <w:tcBorders>
              <w:top w:val="nil"/>
              <w:left w:val="nil"/>
              <w:bottom w:val="nil"/>
              <w:right w:val="single" w:sz="12" w:space="0" w:color="auto"/>
            </w:tcBorders>
            <w:shd w:val="clear" w:color="auto" w:fill="auto"/>
            <w:noWrap/>
            <w:vAlign w:val="bottom"/>
            <w:hideMark/>
          </w:tcPr>
          <w:p w14:paraId="6CC33ED7" w14:textId="77777777" w:rsidR="0076368D" w:rsidRPr="00731C45" w:rsidRDefault="0076368D" w:rsidP="005851DB">
            <w:pPr>
              <w:tabs>
                <w:tab w:val="clear" w:pos="5103"/>
              </w:tabs>
              <w:spacing w:after="0"/>
              <w:rPr>
                <w:rFonts w:eastAsia="Times New Roman" w:cs="Arial"/>
                <w:color w:val="000000"/>
                <w:sz w:val="20"/>
                <w:szCs w:val="20"/>
                <w:lang w:eastAsia="de-CH"/>
              </w:rPr>
            </w:pPr>
            <w:r w:rsidRPr="00731C45">
              <w:rPr>
                <w:rFonts w:eastAsia="Times New Roman" w:cs="Arial"/>
                <w:color w:val="000000"/>
                <w:sz w:val="20"/>
                <w:szCs w:val="20"/>
                <w:lang w:eastAsia="de-CH"/>
              </w:rPr>
              <w:t>Massgebendes Einkommen</w:t>
            </w:r>
          </w:p>
        </w:tc>
        <w:tc>
          <w:tcPr>
            <w:tcW w:w="624" w:type="pct"/>
            <w:tcBorders>
              <w:top w:val="nil"/>
              <w:left w:val="single" w:sz="12" w:space="0" w:color="auto"/>
              <w:bottom w:val="nil"/>
              <w:right w:val="nil"/>
            </w:tcBorders>
            <w:shd w:val="clear" w:color="auto" w:fill="auto"/>
            <w:noWrap/>
            <w:vAlign w:val="bottom"/>
            <w:hideMark/>
          </w:tcPr>
          <w:p w14:paraId="194EA090" w14:textId="5F00CDB7" w:rsidR="0076368D" w:rsidRPr="00731C45" w:rsidRDefault="00192DE9">
            <w:pPr>
              <w:tabs>
                <w:tab w:val="clear" w:pos="5103"/>
              </w:tabs>
              <w:spacing w:after="0"/>
              <w:jc w:val="right"/>
              <w:rPr>
                <w:rFonts w:eastAsia="Times New Roman" w:cs="Arial"/>
                <w:color w:val="000000"/>
                <w:sz w:val="20"/>
                <w:szCs w:val="20"/>
                <w:lang w:eastAsia="de-CH"/>
              </w:rPr>
            </w:pPr>
            <w:r w:rsidRPr="00731C45">
              <w:rPr>
                <w:rFonts w:eastAsia="Times New Roman" w:cs="Arial"/>
                <w:color w:val="000000"/>
                <w:sz w:val="20"/>
                <w:szCs w:val="20"/>
                <w:lang w:eastAsia="de-CH"/>
              </w:rPr>
              <w:t>53</w:t>
            </w:r>
            <w:r w:rsidRPr="00000D69">
              <w:rPr>
                <w:rFonts w:eastAsia="Times New Roman" w:cs="Arial"/>
                <w:color w:val="000000"/>
                <w:sz w:val="20"/>
                <w:szCs w:val="20"/>
                <w:lang w:eastAsia="de-CH"/>
              </w:rPr>
              <w:t>’</w:t>
            </w:r>
            <w:r>
              <w:rPr>
                <w:rFonts w:eastAsia="Times New Roman" w:cs="Arial"/>
                <w:color w:val="000000"/>
                <w:sz w:val="20"/>
                <w:szCs w:val="20"/>
                <w:lang w:eastAsia="de-CH"/>
              </w:rPr>
              <w:t>604</w:t>
            </w:r>
            <w:r w:rsidR="0076368D" w:rsidRPr="00000D69">
              <w:rPr>
                <w:rFonts w:eastAsia="Times New Roman" w:cs="Arial"/>
                <w:color w:val="000000"/>
                <w:sz w:val="20"/>
                <w:szCs w:val="20"/>
                <w:lang w:eastAsia="de-CH"/>
              </w:rPr>
              <w:t>.</w:t>
            </w:r>
            <w:r w:rsidR="0076368D">
              <w:rPr>
                <w:rFonts w:eastAsia="Times New Roman" w:cs="Arial"/>
                <w:color w:val="000000"/>
                <w:sz w:val="20"/>
                <w:szCs w:val="20"/>
                <w:lang w:eastAsia="de-CH"/>
              </w:rPr>
              <w:t>–</w:t>
            </w:r>
          </w:p>
        </w:tc>
      </w:tr>
      <w:tr w:rsidR="0076368D" w:rsidRPr="00731C45" w14:paraId="2AEEE8CE" w14:textId="77777777" w:rsidTr="005851DB">
        <w:trPr>
          <w:trHeight w:val="280"/>
        </w:trPr>
        <w:tc>
          <w:tcPr>
            <w:tcW w:w="128" w:type="pct"/>
            <w:tcBorders>
              <w:top w:val="nil"/>
              <w:left w:val="nil"/>
              <w:bottom w:val="nil"/>
              <w:right w:val="nil"/>
            </w:tcBorders>
            <w:shd w:val="clear" w:color="auto" w:fill="auto"/>
            <w:noWrap/>
            <w:vAlign w:val="bottom"/>
            <w:hideMark/>
          </w:tcPr>
          <w:p w14:paraId="5BECD50C" w14:textId="77777777" w:rsidR="0076368D" w:rsidRPr="00731C45" w:rsidRDefault="0076368D" w:rsidP="005851DB">
            <w:pPr>
              <w:tabs>
                <w:tab w:val="clear" w:pos="5103"/>
              </w:tabs>
              <w:spacing w:after="0"/>
              <w:jc w:val="right"/>
              <w:rPr>
                <w:rFonts w:eastAsia="Times New Roman" w:cs="Arial"/>
                <w:color w:val="000000"/>
                <w:sz w:val="20"/>
                <w:szCs w:val="20"/>
                <w:lang w:eastAsia="de-CH"/>
              </w:rPr>
            </w:pPr>
          </w:p>
        </w:tc>
        <w:tc>
          <w:tcPr>
            <w:tcW w:w="4248" w:type="pct"/>
            <w:tcBorders>
              <w:top w:val="nil"/>
              <w:left w:val="nil"/>
              <w:bottom w:val="nil"/>
              <w:right w:val="single" w:sz="12" w:space="0" w:color="auto"/>
            </w:tcBorders>
            <w:shd w:val="clear" w:color="auto" w:fill="auto"/>
            <w:noWrap/>
            <w:vAlign w:val="bottom"/>
            <w:hideMark/>
          </w:tcPr>
          <w:p w14:paraId="27B61E94" w14:textId="77777777" w:rsidR="0076368D" w:rsidRPr="00731C45" w:rsidRDefault="0076368D" w:rsidP="005851DB">
            <w:pPr>
              <w:tabs>
                <w:tab w:val="clear" w:pos="5103"/>
              </w:tabs>
              <w:spacing w:after="0"/>
              <w:rPr>
                <w:rFonts w:ascii="Times New Roman" w:eastAsia="Times New Roman" w:hAnsi="Times New Roman" w:cs="Times New Roman"/>
                <w:sz w:val="20"/>
                <w:szCs w:val="20"/>
                <w:lang w:eastAsia="de-CH"/>
              </w:rPr>
            </w:pPr>
          </w:p>
        </w:tc>
        <w:tc>
          <w:tcPr>
            <w:tcW w:w="624" w:type="pct"/>
            <w:tcBorders>
              <w:top w:val="nil"/>
              <w:left w:val="single" w:sz="12" w:space="0" w:color="auto"/>
              <w:bottom w:val="nil"/>
              <w:right w:val="nil"/>
            </w:tcBorders>
            <w:shd w:val="clear" w:color="auto" w:fill="auto"/>
            <w:noWrap/>
            <w:vAlign w:val="bottom"/>
            <w:hideMark/>
          </w:tcPr>
          <w:p w14:paraId="10BFD8DA" w14:textId="77777777" w:rsidR="0076368D" w:rsidRPr="00731C45" w:rsidRDefault="0076368D" w:rsidP="005851DB">
            <w:pPr>
              <w:tabs>
                <w:tab w:val="clear" w:pos="5103"/>
              </w:tabs>
              <w:spacing w:after="0"/>
              <w:rPr>
                <w:rFonts w:eastAsia="Times New Roman" w:cs="Arial"/>
                <w:color w:val="000000"/>
                <w:sz w:val="20"/>
                <w:szCs w:val="20"/>
                <w:lang w:eastAsia="de-CH"/>
              </w:rPr>
            </w:pPr>
            <w:r w:rsidRPr="00731C45">
              <w:rPr>
                <w:rFonts w:eastAsia="Times New Roman" w:cs="Arial"/>
                <w:color w:val="000000"/>
                <w:sz w:val="20"/>
                <w:szCs w:val="20"/>
                <w:lang w:eastAsia="de-CH"/>
              </w:rPr>
              <w:t> </w:t>
            </w:r>
          </w:p>
        </w:tc>
      </w:tr>
      <w:tr w:rsidR="0076368D" w:rsidRPr="00731C45" w14:paraId="62759E07" w14:textId="77777777" w:rsidTr="005851DB">
        <w:trPr>
          <w:trHeight w:val="280"/>
        </w:trPr>
        <w:tc>
          <w:tcPr>
            <w:tcW w:w="4376" w:type="pct"/>
            <w:gridSpan w:val="2"/>
            <w:tcBorders>
              <w:top w:val="nil"/>
              <w:left w:val="nil"/>
              <w:bottom w:val="single" w:sz="4" w:space="0" w:color="auto"/>
              <w:right w:val="single" w:sz="12" w:space="0" w:color="auto"/>
            </w:tcBorders>
            <w:shd w:val="clear" w:color="auto" w:fill="auto"/>
            <w:noWrap/>
            <w:vAlign w:val="bottom"/>
            <w:hideMark/>
          </w:tcPr>
          <w:p w14:paraId="2A65F6DC" w14:textId="77777777" w:rsidR="0076368D" w:rsidRPr="00D81A14" w:rsidRDefault="0076368D" w:rsidP="005851DB">
            <w:pPr>
              <w:tabs>
                <w:tab w:val="clear" w:pos="5103"/>
              </w:tabs>
              <w:spacing w:after="0"/>
              <w:rPr>
                <w:rFonts w:eastAsia="Times New Roman" w:cs="Arial"/>
                <w:b/>
                <w:color w:val="000000"/>
                <w:sz w:val="20"/>
                <w:szCs w:val="20"/>
                <w:lang w:eastAsia="de-CH"/>
              </w:rPr>
            </w:pPr>
            <w:r w:rsidRPr="00D81A14">
              <w:rPr>
                <w:rFonts w:eastAsia="Times New Roman" w:cs="Arial"/>
                <w:b/>
                <w:color w:val="000000"/>
                <w:sz w:val="20"/>
                <w:szCs w:val="20"/>
                <w:lang w:eastAsia="de-CH"/>
              </w:rPr>
              <w:t>Tragbares Mass der Mietzinsbelastung</w:t>
            </w:r>
          </w:p>
        </w:tc>
        <w:tc>
          <w:tcPr>
            <w:tcW w:w="624" w:type="pct"/>
            <w:tcBorders>
              <w:top w:val="nil"/>
              <w:left w:val="single" w:sz="12" w:space="0" w:color="auto"/>
              <w:bottom w:val="single" w:sz="12" w:space="0" w:color="auto"/>
              <w:right w:val="nil"/>
            </w:tcBorders>
            <w:shd w:val="clear" w:color="auto" w:fill="auto"/>
            <w:noWrap/>
            <w:vAlign w:val="bottom"/>
            <w:hideMark/>
          </w:tcPr>
          <w:p w14:paraId="24BC2F77" w14:textId="77777777" w:rsidR="0076368D" w:rsidRPr="00731C45" w:rsidRDefault="0076368D" w:rsidP="005851DB">
            <w:pPr>
              <w:tabs>
                <w:tab w:val="clear" w:pos="5103"/>
              </w:tabs>
              <w:spacing w:after="0"/>
              <w:rPr>
                <w:rFonts w:eastAsia="Times New Roman" w:cs="Arial"/>
                <w:color w:val="000000"/>
                <w:sz w:val="20"/>
                <w:szCs w:val="20"/>
                <w:lang w:eastAsia="de-CH"/>
              </w:rPr>
            </w:pPr>
            <w:r w:rsidRPr="00731C45">
              <w:rPr>
                <w:rFonts w:eastAsia="Times New Roman" w:cs="Arial"/>
                <w:color w:val="000000"/>
                <w:sz w:val="20"/>
                <w:szCs w:val="20"/>
                <w:lang w:eastAsia="de-CH"/>
              </w:rPr>
              <w:t> </w:t>
            </w:r>
          </w:p>
        </w:tc>
      </w:tr>
      <w:tr w:rsidR="0076368D" w:rsidRPr="00731C45" w14:paraId="6A9854E7" w14:textId="77777777" w:rsidTr="005851DB">
        <w:trPr>
          <w:trHeight w:val="280"/>
        </w:trPr>
        <w:tc>
          <w:tcPr>
            <w:tcW w:w="128" w:type="pct"/>
            <w:tcBorders>
              <w:top w:val="single" w:sz="12" w:space="0" w:color="auto"/>
              <w:left w:val="nil"/>
              <w:bottom w:val="nil"/>
              <w:right w:val="nil"/>
            </w:tcBorders>
            <w:shd w:val="clear" w:color="auto" w:fill="auto"/>
            <w:noWrap/>
            <w:vAlign w:val="bottom"/>
            <w:hideMark/>
          </w:tcPr>
          <w:p w14:paraId="553C5C6A" w14:textId="77777777" w:rsidR="0076368D" w:rsidRPr="00731C45" w:rsidRDefault="0076368D" w:rsidP="005851DB">
            <w:pPr>
              <w:tabs>
                <w:tab w:val="clear" w:pos="5103"/>
              </w:tabs>
              <w:spacing w:after="0"/>
              <w:rPr>
                <w:rFonts w:eastAsia="Times New Roman" w:cs="Arial"/>
                <w:color w:val="000000"/>
                <w:sz w:val="20"/>
                <w:szCs w:val="20"/>
                <w:lang w:eastAsia="de-CH"/>
              </w:rPr>
            </w:pPr>
          </w:p>
        </w:tc>
        <w:tc>
          <w:tcPr>
            <w:tcW w:w="4248" w:type="pct"/>
            <w:tcBorders>
              <w:top w:val="single" w:sz="12" w:space="0" w:color="auto"/>
              <w:left w:val="nil"/>
              <w:bottom w:val="nil"/>
              <w:right w:val="single" w:sz="12" w:space="0" w:color="auto"/>
            </w:tcBorders>
            <w:shd w:val="clear" w:color="auto" w:fill="auto"/>
            <w:noWrap/>
            <w:vAlign w:val="bottom"/>
            <w:hideMark/>
          </w:tcPr>
          <w:p w14:paraId="07B2419A" w14:textId="77777777" w:rsidR="0076368D" w:rsidRPr="00731C45" w:rsidRDefault="0076368D" w:rsidP="005851DB">
            <w:pPr>
              <w:tabs>
                <w:tab w:val="clear" w:pos="5103"/>
              </w:tabs>
              <w:spacing w:after="0"/>
              <w:rPr>
                <w:rFonts w:eastAsia="Times New Roman" w:cs="Arial"/>
                <w:color w:val="000000"/>
                <w:sz w:val="20"/>
                <w:szCs w:val="20"/>
                <w:lang w:eastAsia="de-CH"/>
              </w:rPr>
            </w:pPr>
            <w:r w:rsidRPr="00731C45">
              <w:rPr>
                <w:rFonts w:eastAsia="Times New Roman" w:cs="Arial"/>
                <w:color w:val="000000"/>
                <w:sz w:val="20"/>
                <w:szCs w:val="20"/>
                <w:lang w:eastAsia="de-CH"/>
              </w:rPr>
              <w:t>Massgebendes Einkommen</w:t>
            </w:r>
          </w:p>
        </w:tc>
        <w:tc>
          <w:tcPr>
            <w:tcW w:w="624" w:type="pct"/>
            <w:tcBorders>
              <w:top w:val="single" w:sz="12" w:space="0" w:color="auto"/>
              <w:left w:val="single" w:sz="12" w:space="0" w:color="auto"/>
              <w:bottom w:val="nil"/>
              <w:right w:val="nil"/>
            </w:tcBorders>
            <w:shd w:val="clear" w:color="auto" w:fill="auto"/>
            <w:noWrap/>
            <w:vAlign w:val="bottom"/>
            <w:hideMark/>
          </w:tcPr>
          <w:p w14:paraId="5C8B646B" w14:textId="72DCDE7B" w:rsidR="0076368D" w:rsidRPr="00731C45" w:rsidRDefault="00492C79" w:rsidP="00492C79">
            <w:pPr>
              <w:tabs>
                <w:tab w:val="clear" w:pos="5103"/>
              </w:tabs>
              <w:spacing w:after="0"/>
              <w:jc w:val="right"/>
              <w:rPr>
                <w:rFonts w:eastAsia="Times New Roman" w:cs="Arial"/>
                <w:color w:val="000000"/>
                <w:sz w:val="20"/>
                <w:szCs w:val="20"/>
                <w:lang w:eastAsia="de-CH"/>
              </w:rPr>
            </w:pPr>
            <w:r w:rsidRPr="00731C45">
              <w:rPr>
                <w:rFonts w:eastAsia="Times New Roman" w:cs="Arial"/>
                <w:color w:val="000000"/>
                <w:sz w:val="20"/>
                <w:szCs w:val="20"/>
                <w:lang w:eastAsia="de-CH"/>
              </w:rPr>
              <w:t>53</w:t>
            </w:r>
            <w:r w:rsidRPr="00000D69">
              <w:rPr>
                <w:rFonts w:eastAsia="Times New Roman" w:cs="Arial"/>
                <w:color w:val="000000"/>
                <w:sz w:val="20"/>
                <w:szCs w:val="20"/>
                <w:lang w:eastAsia="de-CH"/>
              </w:rPr>
              <w:t>’</w:t>
            </w:r>
            <w:r>
              <w:rPr>
                <w:rFonts w:eastAsia="Times New Roman" w:cs="Arial"/>
                <w:color w:val="000000"/>
                <w:sz w:val="20"/>
                <w:szCs w:val="20"/>
                <w:lang w:eastAsia="de-CH"/>
              </w:rPr>
              <w:t>604</w:t>
            </w:r>
            <w:r w:rsidR="0076368D" w:rsidRPr="00000D69">
              <w:rPr>
                <w:rFonts w:eastAsia="Times New Roman" w:cs="Arial"/>
                <w:color w:val="000000"/>
                <w:sz w:val="20"/>
                <w:szCs w:val="20"/>
                <w:lang w:eastAsia="de-CH"/>
              </w:rPr>
              <w:t>.</w:t>
            </w:r>
            <w:r w:rsidR="0076368D">
              <w:rPr>
                <w:rFonts w:eastAsia="Times New Roman" w:cs="Arial"/>
                <w:color w:val="000000"/>
                <w:sz w:val="20"/>
                <w:szCs w:val="20"/>
                <w:lang w:eastAsia="de-CH"/>
              </w:rPr>
              <w:t>–</w:t>
            </w:r>
          </w:p>
        </w:tc>
      </w:tr>
      <w:tr w:rsidR="0076368D" w:rsidRPr="00731C45" w14:paraId="158F3CFE" w14:textId="77777777" w:rsidTr="005851DB">
        <w:trPr>
          <w:trHeight w:val="280"/>
        </w:trPr>
        <w:tc>
          <w:tcPr>
            <w:tcW w:w="128" w:type="pct"/>
            <w:tcBorders>
              <w:top w:val="nil"/>
              <w:left w:val="nil"/>
              <w:bottom w:val="nil"/>
              <w:right w:val="nil"/>
            </w:tcBorders>
            <w:shd w:val="clear" w:color="auto" w:fill="auto"/>
            <w:noWrap/>
            <w:vAlign w:val="bottom"/>
            <w:hideMark/>
          </w:tcPr>
          <w:p w14:paraId="70FE21AB" w14:textId="77777777" w:rsidR="0076368D" w:rsidRPr="00731C45" w:rsidRDefault="0076368D" w:rsidP="005851DB">
            <w:pPr>
              <w:tabs>
                <w:tab w:val="clear" w:pos="5103"/>
              </w:tabs>
              <w:spacing w:after="0"/>
              <w:jc w:val="right"/>
              <w:rPr>
                <w:rFonts w:eastAsia="Times New Roman" w:cs="Arial"/>
                <w:color w:val="000000"/>
                <w:sz w:val="20"/>
                <w:szCs w:val="20"/>
                <w:lang w:eastAsia="de-CH"/>
              </w:rPr>
            </w:pPr>
            <w:r w:rsidRPr="00731C45">
              <w:rPr>
                <w:rFonts w:eastAsia="Times New Roman" w:cs="Arial"/>
                <w:color w:val="000000"/>
                <w:sz w:val="20"/>
                <w:szCs w:val="20"/>
                <w:lang w:eastAsia="de-CH"/>
              </w:rPr>
              <w:t>-</w:t>
            </w:r>
          </w:p>
        </w:tc>
        <w:tc>
          <w:tcPr>
            <w:tcW w:w="4248" w:type="pct"/>
            <w:tcBorders>
              <w:top w:val="nil"/>
              <w:left w:val="nil"/>
              <w:bottom w:val="nil"/>
              <w:right w:val="single" w:sz="12" w:space="0" w:color="auto"/>
            </w:tcBorders>
            <w:shd w:val="clear" w:color="auto" w:fill="auto"/>
            <w:noWrap/>
            <w:vAlign w:val="bottom"/>
            <w:hideMark/>
          </w:tcPr>
          <w:p w14:paraId="605E91B5" w14:textId="77777777" w:rsidR="0076368D" w:rsidRPr="00731C45" w:rsidRDefault="0076368D" w:rsidP="005851DB">
            <w:pPr>
              <w:tabs>
                <w:tab w:val="clear" w:pos="5103"/>
              </w:tabs>
              <w:spacing w:after="0"/>
              <w:rPr>
                <w:rFonts w:eastAsia="Times New Roman" w:cs="Arial"/>
                <w:color w:val="000000"/>
                <w:sz w:val="20"/>
                <w:szCs w:val="20"/>
                <w:lang w:eastAsia="de-CH"/>
              </w:rPr>
            </w:pPr>
            <w:r w:rsidRPr="00731C45">
              <w:rPr>
                <w:rFonts w:eastAsia="Times New Roman" w:cs="Arial"/>
                <w:color w:val="000000"/>
                <w:sz w:val="20"/>
                <w:szCs w:val="20"/>
                <w:lang w:eastAsia="de-CH"/>
              </w:rPr>
              <w:t>100 % SH-Grundbedarf</w:t>
            </w:r>
          </w:p>
        </w:tc>
        <w:tc>
          <w:tcPr>
            <w:tcW w:w="624" w:type="pct"/>
            <w:tcBorders>
              <w:top w:val="nil"/>
              <w:left w:val="single" w:sz="12" w:space="0" w:color="auto"/>
              <w:bottom w:val="nil"/>
              <w:right w:val="nil"/>
            </w:tcBorders>
            <w:shd w:val="clear" w:color="auto" w:fill="auto"/>
            <w:noWrap/>
            <w:vAlign w:val="bottom"/>
            <w:hideMark/>
          </w:tcPr>
          <w:p w14:paraId="2708BEDF" w14:textId="4D41454D" w:rsidR="0076368D" w:rsidRPr="00731C45" w:rsidRDefault="0076368D">
            <w:pPr>
              <w:tabs>
                <w:tab w:val="clear" w:pos="5103"/>
              </w:tabs>
              <w:spacing w:after="0"/>
              <w:jc w:val="right"/>
              <w:rPr>
                <w:rFonts w:eastAsia="Times New Roman" w:cs="Arial"/>
                <w:color w:val="000000"/>
                <w:sz w:val="20"/>
                <w:szCs w:val="20"/>
                <w:lang w:eastAsia="de-CH"/>
              </w:rPr>
            </w:pPr>
            <w:r w:rsidRPr="00731C45">
              <w:rPr>
                <w:rFonts w:eastAsia="Times New Roman" w:cs="Arial"/>
                <w:color w:val="000000"/>
                <w:sz w:val="20"/>
                <w:szCs w:val="20"/>
                <w:lang w:eastAsia="de-CH"/>
              </w:rPr>
              <w:t>-2</w:t>
            </w:r>
            <w:r w:rsidR="002170BE">
              <w:rPr>
                <w:rFonts w:eastAsia="Times New Roman" w:cs="Arial"/>
                <w:color w:val="000000"/>
                <w:sz w:val="20"/>
                <w:szCs w:val="20"/>
                <w:lang w:eastAsia="de-CH"/>
              </w:rPr>
              <w:t>6</w:t>
            </w:r>
            <w:r w:rsidRPr="00000D69">
              <w:rPr>
                <w:rFonts w:eastAsia="Times New Roman" w:cs="Arial"/>
                <w:color w:val="000000"/>
                <w:sz w:val="20"/>
                <w:szCs w:val="20"/>
                <w:lang w:eastAsia="de-CH"/>
              </w:rPr>
              <w:t>’</w:t>
            </w:r>
            <w:r w:rsidR="002170BE">
              <w:rPr>
                <w:rFonts w:eastAsia="Times New Roman" w:cs="Arial"/>
                <w:color w:val="000000"/>
                <w:sz w:val="20"/>
                <w:szCs w:val="20"/>
                <w:lang w:eastAsia="de-CH"/>
              </w:rPr>
              <w:t>472</w:t>
            </w:r>
            <w:r w:rsidRPr="00000D69">
              <w:rPr>
                <w:rFonts w:eastAsia="Times New Roman" w:cs="Arial"/>
                <w:color w:val="000000"/>
                <w:sz w:val="20"/>
                <w:szCs w:val="20"/>
                <w:lang w:eastAsia="de-CH"/>
              </w:rPr>
              <w:t>.</w:t>
            </w:r>
            <w:r>
              <w:rPr>
                <w:rFonts w:eastAsia="Times New Roman" w:cs="Arial"/>
                <w:color w:val="000000"/>
                <w:sz w:val="20"/>
                <w:szCs w:val="20"/>
                <w:lang w:eastAsia="de-CH"/>
              </w:rPr>
              <w:t>–</w:t>
            </w:r>
          </w:p>
        </w:tc>
      </w:tr>
      <w:tr w:rsidR="0076368D" w:rsidRPr="00731C45" w14:paraId="4F727D7C" w14:textId="77777777" w:rsidTr="005851DB">
        <w:trPr>
          <w:trHeight w:val="280"/>
        </w:trPr>
        <w:tc>
          <w:tcPr>
            <w:tcW w:w="128" w:type="pct"/>
            <w:tcBorders>
              <w:top w:val="nil"/>
              <w:left w:val="nil"/>
              <w:bottom w:val="nil"/>
              <w:right w:val="nil"/>
            </w:tcBorders>
            <w:shd w:val="clear" w:color="auto" w:fill="auto"/>
            <w:noWrap/>
            <w:vAlign w:val="bottom"/>
            <w:hideMark/>
          </w:tcPr>
          <w:p w14:paraId="332396CB" w14:textId="77777777" w:rsidR="0076368D" w:rsidRPr="00731C45" w:rsidRDefault="0076368D" w:rsidP="005851DB">
            <w:pPr>
              <w:tabs>
                <w:tab w:val="clear" w:pos="5103"/>
              </w:tabs>
              <w:spacing w:after="0"/>
              <w:jc w:val="right"/>
              <w:rPr>
                <w:rFonts w:eastAsia="Times New Roman" w:cs="Arial"/>
                <w:color w:val="000000"/>
                <w:sz w:val="20"/>
                <w:szCs w:val="20"/>
                <w:lang w:eastAsia="de-CH"/>
              </w:rPr>
            </w:pPr>
            <w:r w:rsidRPr="00731C45">
              <w:rPr>
                <w:rFonts w:eastAsia="Times New Roman" w:cs="Arial"/>
                <w:color w:val="000000"/>
                <w:sz w:val="20"/>
                <w:szCs w:val="20"/>
                <w:lang w:eastAsia="de-CH"/>
              </w:rPr>
              <w:t>-</w:t>
            </w:r>
          </w:p>
        </w:tc>
        <w:tc>
          <w:tcPr>
            <w:tcW w:w="4248" w:type="pct"/>
            <w:vMerge w:val="restart"/>
            <w:tcBorders>
              <w:top w:val="nil"/>
              <w:left w:val="nil"/>
              <w:right w:val="single" w:sz="12" w:space="0" w:color="auto"/>
            </w:tcBorders>
            <w:shd w:val="clear" w:color="auto" w:fill="auto"/>
            <w:vAlign w:val="bottom"/>
            <w:hideMark/>
          </w:tcPr>
          <w:p w14:paraId="775CBE43" w14:textId="77777777" w:rsidR="0076368D" w:rsidRPr="00731C45" w:rsidRDefault="0076368D" w:rsidP="005851DB">
            <w:pPr>
              <w:tabs>
                <w:tab w:val="clear" w:pos="5103"/>
              </w:tabs>
              <w:spacing w:after="0"/>
              <w:rPr>
                <w:rFonts w:eastAsia="Times New Roman" w:cs="Arial"/>
                <w:color w:val="000000"/>
                <w:sz w:val="20"/>
                <w:szCs w:val="20"/>
                <w:lang w:eastAsia="de-CH"/>
              </w:rPr>
            </w:pPr>
            <w:r w:rsidRPr="00731C45">
              <w:rPr>
                <w:rFonts w:eastAsia="Times New Roman" w:cs="Arial"/>
                <w:color w:val="000000"/>
                <w:sz w:val="20"/>
                <w:szCs w:val="20"/>
                <w:lang w:eastAsia="de-CH"/>
              </w:rPr>
              <w:t>effektive Prämien der obligatorischen Krankenpflegeversicherung bis maximal die regionalen Durchschnittsprämien</w:t>
            </w:r>
          </w:p>
        </w:tc>
        <w:tc>
          <w:tcPr>
            <w:tcW w:w="624" w:type="pct"/>
            <w:vMerge w:val="restart"/>
            <w:tcBorders>
              <w:top w:val="nil"/>
              <w:left w:val="single" w:sz="12" w:space="0" w:color="auto"/>
              <w:right w:val="nil"/>
            </w:tcBorders>
            <w:shd w:val="clear" w:color="auto" w:fill="auto"/>
            <w:noWrap/>
            <w:vAlign w:val="bottom"/>
            <w:hideMark/>
          </w:tcPr>
          <w:p w14:paraId="3BFC0C59" w14:textId="46AA6C98" w:rsidR="0076368D" w:rsidRPr="00731C45" w:rsidRDefault="0076368D" w:rsidP="008E72DB">
            <w:pPr>
              <w:tabs>
                <w:tab w:val="clear" w:pos="5103"/>
              </w:tabs>
              <w:spacing w:after="0"/>
              <w:jc w:val="right"/>
              <w:rPr>
                <w:rFonts w:eastAsia="Times New Roman" w:cs="Arial"/>
                <w:color w:val="000000"/>
                <w:sz w:val="20"/>
                <w:szCs w:val="20"/>
                <w:lang w:eastAsia="de-CH"/>
              </w:rPr>
            </w:pPr>
            <w:r>
              <w:rPr>
                <w:rFonts w:eastAsia="Times New Roman" w:cs="Arial"/>
                <w:color w:val="000000"/>
                <w:sz w:val="20"/>
                <w:szCs w:val="20"/>
                <w:lang w:eastAsia="de-CH"/>
              </w:rPr>
              <w:t>-</w:t>
            </w:r>
            <w:r w:rsidR="008E72DB" w:rsidRPr="00375012">
              <w:rPr>
                <w:rFonts w:eastAsia="Times New Roman" w:cs="Arial"/>
                <w:color w:val="000000"/>
                <w:sz w:val="20"/>
                <w:szCs w:val="20"/>
                <w:lang w:eastAsia="de-CH"/>
              </w:rPr>
              <w:t>10</w:t>
            </w:r>
            <w:r w:rsidRPr="006E0C17">
              <w:rPr>
                <w:rFonts w:eastAsia="Times New Roman" w:cs="Arial"/>
                <w:color w:val="000000"/>
                <w:sz w:val="20"/>
                <w:szCs w:val="20"/>
                <w:lang w:eastAsia="de-CH"/>
              </w:rPr>
              <w:t>’</w:t>
            </w:r>
            <w:r w:rsidR="008E72DB" w:rsidRPr="00037F83">
              <w:rPr>
                <w:rFonts w:eastAsia="Times New Roman" w:cs="Arial"/>
                <w:color w:val="000000"/>
                <w:sz w:val="20"/>
                <w:szCs w:val="20"/>
                <w:lang w:eastAsia="de-CH"/>
              </w:rPr>
              <w:t>224</w:t>
            </w:r>
            <w:r w:rsidRPr="00000D69">
              <w:rPr>
                <w:rFonts w:eastAsia="Times New Roman" w:cs="Arial"/>
                <w:color w:val="000000"/>
                <w:sz w:val="20"/>
                <w:szCs w:val="20"/>
                <w:lang w:eastAsia="de-CH"/>
              </w:rPr>
              <w:t>.</w:t>
            </w:r>
            <w:r>
              <w:rPr>
                <w:rFonts w:eastAsia="Times New Roman" w:cs="Arial"/>
                <w:color w:val="000000"/>
                <w:sz w:val="20"/>
                <w:szCs w:val="20"/>
                <w:lang w:eastAsia="de-CH"/>
              </w:rPr>
              <w:t>–</w:t>
            </w:r>
          </w:p>
        </w:tc>
      </w:tr>
      <w:tr w:rsidR="0076368D" w:rsidRPr="00731C45" w14:paraId="3B9C6E2B" w14:textId="77777777" w:rsidTr="005851DB">
        <w:trPr>
          <w:trHeight w:val="280"/>
        </w:trPr>
        <w:tc>
          <w:tcPr>
            <w:tcW w:w="128" w:type="pct"/>
            <w:tcBorders>
              <w:top w:val="nil"/>
              <w:left w:val="nil"/>
              <w:bottom w:val="nil"/>
              <w:right w:val="nil"/>
            </w:tcBorders>
            <w:shd w:val="clear" w:color="auto" w:fill="auto"/>
            <w:noWrap/>
            <w:vAlign w:val="bottom"/>
          </w:tcPr>
          <w:p w14:paraId="7644DF00" w14:textId="77777777" w:rsidR="0076368D" w:rsidRPr="00000D69" w:rsidRDefault="0076368D" w:rsidP="005851DB">
            <w:pPr>
              <w:tabs>
                <w:tab w:val="clear" w:pos="5103"/>
              </w:tabs>
              <w:spacing w:after="0"/>
              <w:jc w:val="right"/>
              <w:rPr>
                <w:rFonts w:eastAsia="Times New Roman" w:cs="Arial"/>
                <w:color w:val="000000"/>
                <w:sz w:val="20"/>
                <w:szCs w:val="20"/>
                <w:lang w:eastAsia="de-CH"/>
              </w:rPr>
            </w:pPr>
          </w:p>
        </w:tc>
        <w:tc>
          <w:tcPr>
            <w:tcW w:w="4248" w:type="pct"/>
            <w:vMerge/>
            <w:tcBorders>
              <w:left w:val="nil"/>
              <w:bottom w:val="nil"/>
              <w:right w:val="single" w:sz="12" w:space="0" w:color="auto"/>
            </w:tcBorders>
            <w:shd w:val="clear" w:color="auto" w:fill="auto"/>
            <w:vAlign w:val="bottom"/>
          </w:tcPr>
          <w:p w14:paraId="4B2C04DA" w14:textId="77777777" w:rsidR="0076368D" w:rsidRPr="00000D69" w:rsidRDefault="0076368D" w:rsidP="005851DB">
            <w:pPr>
              <w:tabs>
                <w:tab w:val="clear" w:pos="5103"/>
              </w:tabs>
              <w:spacing w:after="0"/>
              <w:rPr>
                <w:rFonts w:eastAsia="Times New Roman" w:cs="Arial"/>
                <w:color w:val="000000"/>
                <w:sz w:val="20"/>
                <w:szCs w:val="20"/>
                <w:lang w:eastAsia="de-CH"/>
              </w:rPr>
            </w:pPr>
          </w:p>
        </w:tc>
        <w:tc>
          <w:tcPr>
            <w:tcW w:w="624" w:type="pct"/>
            <w:vMerge/>
            <w:tcBorders>
              <w:left w:val="single" w:sz="12" w:space="0" w:color="auto"/>
              <w:bottom w:val="nil"/>
              <w:right w:val="nil"/>
            </w:tcBorders>
            <w:shd w:val="clear" w:color="auto" w:fill="auto"/>
            <w:noWrap/>
            <w:vAlign w:val="bottom"/>
          </w:tcPr>
          <w:p w14:paraId="72C2F0CA" w14:textId="77777777" w:rsidR="0076368D" w:rsidRPr="00000D69" w:rsidRDefault="0076368D" w:rsidP="005851DB">
            <w:pPr>
              <w:tabs>
                <w:tab w:val="clear" w:pos="5103"/>
              </w:tabs>
              <w:spacing w:after="0"/>
              <w:jc w:val="right"/>
              <w:rPr>
                <w:rFonts w:eastAsia="Times New Roman" w:cs="Arial"/>
                <w:color w:val="000000"/>
                <w:sz w:val="20"/>
                <w:szCs w:val="20"/>
                <w:lang w:eastAsia="de-CH"/>
              </w:rPr>
            </w:pPr>
          </w:p>
        </w:tc>
      </w:tr>
      <w:tr w:rsidR="0076368D" w:rsidRPr="00731C45" w14:paraId="3BF21E5F" w14:textId="77777777" w:rsidTr="005851DB">
        <w:trPr>
          <w:trHeight w:val="280"/>
        </w:trPr>
        <w:tc>
          <w:tcPr>
            <w:tcW w:w="128" w:type="pct"/>
            <w:tcBorders>
              <w:top w:val="nil"/>
              <w:left w:val="nil"/>
              <w:bottom w:val="nil"/>
              <w:right w:val="nil"/>
            </w:tcBorders>
            <w:shd w:val="clear" w:color="auto" w:fill="auto"/>
            <w:noWrap/>
            <w:vAlign w:val="bottom"/>
            <w:hideMark/>
          </w:tcPr>
          <w:p w14:paraId="7B3B39F7" w14:textId="77777777" w:rsidR="0076368D" w:rsidRPr="00731C45" w:rsidRDefault="0076368D" w:rsidP="005851DB">
            <w:pPr>
              <w:tabs>
                <w:tab w:val="clear" w:pos="5103"/>
              </w:tabs>
              <w:spacing w:after="0"/>
              <w:jc w:val="right"/>
              <w:rPr>
                <w:rFonts w:eastAsia="Times New Roman" w:cs="Arial"/>
                <w:color w:val="000000"/>
                <w:sz w:val="20"/>
                <w:szCs w:val="20"/>
                <w:lang w:eastAsia="de-CH"/>
              </w:rPr>
            </w:pPr>
            <w:r w:rsidRPr="00731C45">
              <w:rPr>
                <w:rFonts w:eastAsia="Times New Roman" w:cs="Arial"/>
                <w:color w:val="000000"/>
                <w:sz w:val="20"/>
                <w:szCs w:val="20"/>
                <w:lang w:eastAsia="de-CH"/>
              </w:rPr>
              <w:t>-</w:t>
            </w:r>
          </w:p>
        </w:tc>
        <w:tc>
          <w:tcPr>
            <w:tcW w:w="4248" w:type="pct"/>
            <w:tcBorders>
              <w:top w:val="nil"/>
              <w:left w:val="nil"/>
              <w:bottom w:val="nil"/>
              <w:right w:val="single" w:sz="12" w:space="0" w:color="auto"/>
            </w:tcBorders>
            <w:shd w:val="clear" w:color="auto" w:fill="auto"/>
            <w:noWrap/>
            <w:vAlign w:val="bottom"/>
            <w:hideMark/>
          </w:tcPr>
          <w:p w14:paraId="2A2BAA79" w14:textId="77777777" w:rsidR="0076368D" w:rsidRPr="00731C45" w:rsidRDefault="0076368D" w:rsidP="005851DB">
            <w:pPr>
              <w:tabs>
                <w:tab w:val="clear" w:pos="5103"/>
              </w:tabs>
              <w:spacing w:after="0"/>
              <w:rPr>
                <w:rFonts w:eastAsia="Times New Roman" w:cs="Arial"/>
                <w:color w:val="000000"/>
                <w:sz w:val="20"/>
                <w:szCs w:val="20"/>
                <w:lang w:eastAsia="de-CH"/>
              </w:rPr>
            </w:pPr>
            <w:r w:rsidRPr="00731C45">
              <w:rPr>
                <w:rFonts w:eastAsia="Times New Roman" w:cs="Arial"/>
                <w:color w:val="000000"/>
                <w:sz w:val="20"/>
                <w:szCs w:val="20"/>
                <w:lang w:eastAsia="de-CH"/>
              </w:rPr>
              <w:t>effektive Kosten für familienergänzende Kinderbetreuung</w:t>
            </w:r>
          </w:p>
        </w:tc>
        <w:tc>
          <w:tcPr>
            <w:tcW w:w="624" w:type="pct"/>
            <w:tcBorders>
              <w:top w:val="nil"/>
              <w:left w:val="single" w:sz="12" w:space="0" w:color="auto"/>
              <w:bottom w:val="nil"/>
              <w:right w:val="nil"/>
            </w:tcBorders>
            <w:shd w:val="clear" w:color="auto" w:fill="auto"/>
            <w:noWrap/>
            <w:vAlign w:val="bottom"/>
            <w:hideMark/>
          </w:tcPr>
          <w:p w14:paraId="6837B39B" w14:textId="77777777" w:rsidR="0076368D" w:rsidRPr="00731C45" w:rsidRDefault="0076368D" w:rsidP="005851DB">
            <w:pPr>
              <w:tabs>
                <w:tab w:val="clear" w:pos="5103"/>
              </w:tabs>
              <w:spacing w:after="0"/>
              <w:rPr>
                <w:rFonts w:eastAsia="Times New Roman" w:cs="Arial"/>
                <w:color w:val="000000"/>
                <w:sz w:val="20"/>
                <w:szCs w:val="20"/>
                <w:lang w:eastAsia="de-CH"/>
              </w:rPr>
            </w:pPr>
            <w:r w:rsidRPr="00731C45">
              <w:rPr>
                <w:rFonts w:eastAsia="Times New Roman" w:cs="Arial"/>
                <w:color w:val="000000"/>
                <w:sz w:val="20"/>
                <w:szCs w:val="20"/>
                <w:lang w:eastAsia="de-CH"/>
              </w:rPr>
              <w:t> </w:t>
            </w:r>
          </w:p>
        </w:tc>
      </w:tr>
      <w:tr w:rsidR="0076368D" w:rsidRPr="00731C45" w14:paraId="1EACEF97" w14:textId="77777777" w:rsidTr="005851DB">
        <w:trPr>
          <w:trHeight w:val="280"/>
        </w:trPr>
        <w:tc>
          <w:tcPr>
            <w:tcW w:w="128" w:type="pct"/>
            <w:tcBorders>
              <w:top w:val="nil"/>
              <w:left w:val="nil"/>
              <w:bottom w:val="nil"/>
              <w:right w:val="nil"/>
            </w:tcBorders>
            <w:shd w:val="clear" w:color="auto" w:fill="auto"/>
            <w:noWrap/>
            <w:vAlign w:val="bottom"/>
            <w:hideMark/>
          </w:tcPr>
          <w:p w14:paraId="5283ECEA" w14:textId="77777777" w:rsidR="0076368D" w:rsidRPr="00731C45" w:rsidRDefault="0076368D" w:rsidP="005851DB">
            <w:pPr>
              <w:tabs>
                <w:tab w:val="clear" w:pos="5103"/>
              </w:tabs>
              <w:spacing w:after="0"/>
              <w:jc w:val="right"/>
              <w:rPr>
                <w:rFonts w:eastAsia="Times New Roman" w:cs="Arial"/>
                <w:color w:val="000000"/>
                <w:sz w:val="20"/>
                <w:szCs w:val="20"/>
                <w:lang w:eastAsia="de-CH"/>
              </w:rPr>
            </w:pPr>
            <w:r w:rsidRPr="00731C45">
              <w:rPr>
                <w:rFonts w:eastAsia="Times New Roman" w:cs="Arial"/>
                <w:color w:val="000000"/>
                <w:sz w:val="20"/>
                <w:szCs w:val="20"/>
                <w:lang w:eastAsia="de-CH"/>
              </w:rPr>
              <w:t>-</w:t>
            </w:r>
          </w:p>
        </w:tc>
        <w:tc>
          <w:tcPr>
            <w:tcW w:w="4248" w:type="pct"/>
            <w:tcBorders>
              <w:top w:val="nil"/>
              <w:left w:val="nil"/>
              <w:bottom w:val="nil"/>
              <w:right w:val="single" w:sz="12" w:space="0" w:color="auto"/>
            </w:tcBorders>
            <w:shd w:val="clear" w:color="auto" w:fill="auto"/>
            <w:noWrap/>
            <w:vAlign w:val="bottom"/>
            <w:hideMark/>
          </w:tcPr>
          <w:p w14:paraId="2A24B503" w14:textId="77777777" w:rsidR="0076368D" w:rsidRPr="00731C45" w:rsidRDefault="0076368D" w:rsidP="005851DB">
            <w:pPr>
              <w:tabs>
                <w:tab w:val="clear" w:pos="5103"/>
              </w:tabs>
              <w:spacing w:after="0"/>
              <w:rPr>
                <w:rFonts w:eastAsia="Times New Roman" w:cs="Arial"/>
                <w:color w:val="000000"/>
                <w:sz w:val="20"/>
                <w:szCs w:val="20"/>
                <w:lang w:eastAsia="de-CH"/>
              </w:rPr>
            </w:pPr>
            <w:r w:rsidRPr="00731C45">
              <w:rPr>
                <w:rFonts w:eastAsia="Times New Roman" w:cs="Arial"/>
                <w:color w:val="000000"/>
                <w:sz w:val="20"/>
                <w:szCs w:val="20"/>
                <w:lang w:eastAsia="de-CH"/>
              </w:rPr>
              <w:t>AHV-Beiträge für nicht erwerbstätige Personen</w:t>
            </w:r>
          </w:p>
        </w:tc>
        <w:tc>
          <w:tcPr>
            <w:tcW w:w="624" w:type="pct"/>
            <w:tcBorders>
              <w:top w:val="nil"/>
              <w:left w:val="single" w:sz="12" w:space="0" w:color="auto"/>
              <w:bottom w:val="nil"/>
              <w:right w:val="nil"/>
            </w:tcBorders>
            <w:shd w:val="clear" w:color="auto" w:fill="auto"/>
            <w:noWrap/>
            <w:vAlign w:val="bottom"/>
            <w:hideMark/>
          </w:tcPr>
          <w:p w14:paraId="5D40EC0F" w14:textId="77777777" w:rsidR="0076368D" w:rsidRPr="00731C45" w:rsidRDefault="0076368D" w:rsidP="005851DB">
            <w:pPr>
              <w:tabs>
                <w:tab w:val="clear" w:pos="5103"/>
              </w:tabs>
              <w:spacing w:after="0"/>
              <w:rPr>
                <w:rFonts w:eastAsia="Times New Roman" w:cs="Arial"/>
                <w:color w:val="000000"/>
                <w:sz w:val="20"/>
                <w:szCs w:val="20"/>
                <w:lang w:eastAsia="de-CH"/>
              </w:rPr>
            </w:pPr>
            <w:r w:rsidRPr="00731C45">
              <w:rPr>
                <w:rFonts w:eastAsia="Times New Roman" w:cs="Arial"/>
                <w:color w:val="000000"/>
                <w:sz w:val="20"/>
                <w:szCs w:val="20"/>
                <w:lang w:eastAsia="de-CH"/>
              </w:rPr>
              <w:t> </w:t>
            </w:r>
          </w:p>
        </w:tc>
      </w:tr>
      <w:tr w:rsidR="0076368D" w:rsidRPr="00731C45" w14:paraId="0A0680A2" w14:textId="77777777" w:rsidTr="005851DB">
        <w:trPr>
          <w:trHeight w:val="280"/>
        </w:trPr>
        <w:tc>
          <w:tcPr>
            <w:tcW w:w="128" w:type="pct"/>
            <w:tcBorders>
              <w:top w:val="nil"/>
              <w:left w:val="nil"/>
              <w:bottom w:val="nil"/>
              <w:right w:val="nil"/>
            </w:tcBorders>
            <w:shd w:val="clear" w:color="auto" w:fill="auto"/>
            <w:noWrap/>
            <w:vAlign w:val="bottom"/>
            <w:hideMark/>
          </w:tcPr>
          <w:p w14:paraId="6B703C29" w14:textId="77777777" w:rsidR="0076368D" w:rsidRPr="00731C45" w:rsidRDefault="0076368D" w:rsidP="005851DB">
            <w:pPr>
              <w:tabs>
                <w:tab w:val="clear" w:pos="5103"/>
              </w:tabs>
              <w:spacing w:after="0"/>
              <w:jc w:val="right"/>
              <w:rPr>
                <w:rFonts w:eastAsia="Times New Roman" w:cs="Arial"/>
                <w:color w:val="000000"/>
                <w:sz w:val="20"/>
                <w:szCs w:val="20"/>
                <w:lang w:eastAsia="de-CH"/>
              </w:rPr>
            </w:pPr>
            <w:r w:rsidRPr="00731C45">
              <w:rPr>
                <w:rFonts w:eastAsia="Times New Roman" w:cs="Arial"/>
                <w:color w:val="000000"/>
                <w:sz w:val="20"/>
                <w:szCs w:val="20"/>
                <w:lang w:eastAsia="de-CH"/>
              </w:rPr>
              <w:t>-</w:t>
            </w:r>
          </w:p>
        </w:tc>
        <w:tc>
          <w:tcPr>
            <w:tcW w:w="4248" w:type="pct"/>
            <w:tcBorders>
              <w:top w:val="nil"/>
              <w:left w:val="nil"/>
              <w:bottom w:val="single" w:sz="4" w:space="0" w:color="auto"/>
              <w:right w:val="single" w:sz="12" w:space="0" w:color="auto"/>
            </w:tcBorders>
            <w:shd w:val="clear" w:color="auto" w:fill="auto"/>
            <w:noWrap/>
            <w:vAlign w:val="bottom"/>
            <w:hideMark/>
          </w:tcPr>
          <w:p w14:paraId="4BC0D599" w14:textId="77777777" w:rsidR="0076368D" w:rsidRPr="00731C45" w:rsidRDefault="0076368D" w:rsidP="005851DB">
            <w:pPr>
              <w:tabs>
                <w:tab w:val="clear" w:pos="5103"/>
              </w:tabs>
              <w:spacing w:after="0"/>
              <w:rPr>
                <w:rFonts w:eastAsia="Times New Roman" w:cs="Arial"/>
                <w:color w:val="000000"/>
                <w:sz w:val="20"/>
                <w:szCs w:val="20"/>
                <w:lang w:eastAsia="de-CH"/>
              </w:rPr>
            </w:pPr>
            <w:r w:rsidRPr="00731C45">
              <w:rPr>
                <w:rFonts w:eastAsia="Times New Roman" w:cs="Arial"/>
                <w:color w:val="000000"/>
                <w:sz w:val="20"/>
                <w:szCs w:val="20"/>
                <w:lang w:eastAsia="de-CH"/>
              </w:rPr>
              <w:t>sonstige wiederkehrende Ausgaben</w:t>
            </w:r>
          </w:p>
        </w:tc>
        <w:tc>
          <w:tcPr>
            <w:tcW w:w="624" w:type="pct"/>
            <w:tcBorders>
              <w:top w:val="nil"/>
              <w:left w:val="single" w:sz="12" w:space="0" w:color="auto"/>
              <w:bottom w:val="single" w:sz="4" w:space="0" w:color="auto"/>
              <w:right w:val="nil"/>
            </w:tcBorders>
            <w:shd w:val="clear" w:color="auto" w:fill="auto"/>
            <w:noWrap/>
            <w:vAlign w:val="bottom"/>
            <w:hideMark/>
          </w:tcPr>
          <w:p w14:paraId="3FCF2D38" w14:textId="77777777" w:rsidR="0076368D" w:rsidRPr="00731C45" w:rsidRDefault="0076368D" w:rsidP="005851DB">
            <w:pPr>
              <w:tabs>
                <w:tab w:val="clear" w:pos="5103"/>
              </w:tabs>
              <w:spacing w:after="0"/>
              <w:rPr>
                <w:rFonts w:eastAsia="Times New Roman" w:cs="Arial"/>
                <w:color w:val="000000"/>
                <w:sz w:val="20"/>
                <w:szCs w:val="20"/>
                <w:lang w:eastAsia="de-CH"/>
              </w:rPr>
            </w:pPr>
            <w:r w:rsidRPr="00731C45">
              <w:rPr>
                <w:rFonts w:eastAsia="Times New Roman" w:cs="Arial"/>
                <w:color w:val="000000"/>
                <w:sz w:val="20"/>
                <w:szCs w:val="20"/>
                <w:lang w:eastAsia="de-CH"/>
              </w:rPr>
              <w:t> </w:t>
            </w:r>
          </w:p>
        </w:tc>
      </w:tr>
      <w:tr w:rsidR="0076368D" w:rsidRPr="00731C45" w14:paraId="10CC6B01" w14:textId="77777777" w:rsidTr="005851DB">
        <w:trPr>
          <w:trHeight w:val="280"/>
        </w:trPr>
        <w:tc>
          <w:tcPr>
            <w:tcW w:w="128" w:type="pct"/>
            <w:tcBorders>
              <w:top w:val="nil"/>
              <w:left w:val="nil"/>
              <w:bottom w:val="nil"/>
              <w:right w:val="nil"/>
            </w:tcBorders>
            <w:shd w:val="clear" w:color="auto" w:fill="auto"/>
            <w:noWrap/>
            <w:vAlign w:val="bottom"/>
            <w:hideMark/>
          </w:tcPr>
          <w:p w14:paraId="36817EAD" w14:textId="77777777" w:rsidR="0076368D" w:rsidRPr="00731C45" w:rsidRDefault="0076368D" w:rsidP="005851DB">
            <w:pPr>
              <w:tabs>
                <w:tab w:val="clear" w:pos="5103"/>
              </w:tabs>
              <w:spacing w:after="0"/>
              <w:jc w:val="right"/>
              <w:rPr>
                <w:rFonts w:eastAsia="Times New Roman" w:cs="Arial"/>
                <w:color w:val="000000"/>
                <w:sz w:val="20"/>
                <w:szCs w:val="20"/>
                <w:lang w:eastAsia="de-CH"/>
              </w:rPr>
            </w:pPr>
            <w:r w:rsidRPr="00731C45">
              <w:rPr>
                <w:rFonts w:eastAsia="Times New Roman" w:cs="Arial"/>
                <w:color w:val="000000"/>
                <w:sz w:val="20"/>
                <w:szCs w:val="20"/>
                <w:lang w:eastAsia="de-CH"/>
              </w:rPr>
              <w:t>=</w:t>
            </w:r>
          </w:p>
        </w:tc>
        <w:tc>
          <w:tcPr>
            <w:tcW w:w="4248" w:type="pct"/>
            <w:tcBorders>
              <w:top w:val="nil"/>
              <w:left w:val="nil"/>
              <w:bottom w:val="nil"/>
              <w:right w:val="single" w:sz="12" w:space="0" w:color="auto"/>
            </w:tcBorders>
            <w:shd w:val="clear" w:color="auto" w:fill="auto"/>
            <w:noWrap/>
            <w:vAlign w:val="bottom"/>
            <w:hideMark/>
          </w:tcPr>
          <w:p w14:paraId="20E572B0" w14:textId="77777777" w:rsidR="0076368D" w:rsidRPr="00731C45" w:rsidRDefault="0076368D" w:rsidP="005851DB">
            <w:pPr>
              <w:tabs>
                <w:tab w:val="clear" w:pos="5103"/>
              </w:tabs>
              <w:spacing w:after="0"/>
              <w:rPr>
                <w:rFonts w:eastAsia="Times New Roman" w:cs="Arial"/>
                <w:color w:val="000000"/>
                <w:sz w:val="20"/>
                <w:szCs w:val="20"/>
                <w:lang w:eastAsia="de-CH"/>
              </w:rPr>
            </w:pPr>
            <w:r w:rsidRPr="00731C45">
              <w:rPr>
                <w:rFonts w:eastAsia="Times New Roman" w:cs="Arial"/>
                <w:color w:val="000000"/>
                <w:sz w:val="20"/>
                <w:szCs w:val="20"/>
                <w:lang w:eastAsia="de-CH"/>
              </w:rPr>
              <w:t>Tragbares Mass der Mietzinsbelastung</w:t>
            </w:r>
          </w:p>
        </w:tc>
        <w:tc>
          <w:tcPr>
            <w:tcW w:w="624" w:type="pct"/>
            <w:tcBorders>
              <w:top w:val="nil"/>
              <w:left w:val="single" w:sz="12" w:space="0" w:color="auto"/>
              <w:bottom w:val="nil"/>
              <w:right w:val="nil"/>
            </w:tcBorders>
            <w:shd w:val="clear" w:color="auto" w:fill="auto"/>
            <w:noWrap/>
            <w:vAlign w:val="bottom"/>
            <w:hideMark/>
          </w:tcPr>
          <w:p w14:paraId="1D6D9A7D" w14:textId="66C2AA22" w:rsidR="0076368D" w:rsidRPr="00731C45" w:rsidRDefault="00492C79" w:rsidP="00492C79">
            <w:pPr>
              <w:tabs>
                <w:tab w:val="clear" w:pos="5103"/>
              </w:tabs>
              <w:spacing w:after="0"/>
              <w:jc w:val="right"/>
              <w:rPr>
                <w:rFonts w:eastAsia="Times New Roman" w:cs="Arial"/>
                <w:color w:val="000000"/>
                <w:sz w:val="20"/>
                <w:szCs w:val="20"/>
                <w:lang w:eastAsia="de-CH"/>
              </w:rPr>
            </w:pPr>
            <w:r>
              <w:rPr>
                <w:rFonts w:eastAsia="Times New Roman" w:cs="Arial"/>
                <w:color w:val="000000"/>
                <w:sz w:val="20"/>
                <w:szCs w:val="20"/>
                <w:lang w:eastAsia="de-CH"/>
              </w:rPr>
              <w:t>16’908</w:t>
            </w:r>
            <w:r w:rsidR="0076368D" w:rsidRPr="00000D69">
              <w:rPr>
                <w:rFonts w:eastAsia="Times New Roman" w:cs="Arial"/>
                <w:color w:val="000000"/>
                <w:sz w:val="20"/>
                <w:szCs w:val="20"/>
                <w:lang w:eastAsia="de-CH"/>
              </w:rPr>
              <w:t>.</w:t>
            </w:r>
            <w:r w:rsidR="0076368D">
              <w:rPr>
                <w:rFonts w:eastAsia="Times New Roman" w:cs="Arial"/>
                <w:color w:val="000000"/>
                <w:sz w:val="20"/>
                <w:szCs w:val="20"/>
                <w:lang w:eastAsia="de-CH"/>
              </w:rPr>
              <w:t>–</w:t>
            </w:r>
          </w:p>
        </w:tc>
      </w:tr>
      <w:tr w:rsidR="0076368D" w:rsidRPr="00731C45" w14:paraId="66DC4FD6" w14:textId="77777777" w:rsidTr="005851DB">
        <w:trPr>
          <w:trHeight w:val="280"/>
        </w:trPr>
        <w:tc>
          <w:tcPr>
            <w:tcW w:w="128" w:type="pct"/>
            <w:tcBorders>
              <w:top w:val="nil"/>
              <w:left w:val="nil"/>
              <w:bottom w:val="nil"/>
              <w:right w:val="nil"/>
            </w:tcBorders>
            <w:shd w:val="clear" w:color="auto" w:fill="auto"/>
            <w:noWrap/>
            <w:vAlign w:val="bottom"/>
            <w:hideMark/>
          </w:tcPr>
          <w:p w14:paraId="0D31C4AE" w14:textId="77777777" w:rsidR="0076368D" w:rsidRPr="00731C45" w:rsidRDefault="0076368D" w:rsidP="005851DB">
            <w:pPr>
              <w:tabs>
                <w:tab w:val="clear" w:pos="5103"/>
              </w:tabs>
              <w:spacing w:after="0"/>
              <w:jc w:val="right"/>
              <w:rPr>
                <w:rFonts w:eastAsia="Times New Roman" w:cs="Arial"/>
                <w:color w:val="000000"/>
                <w:sz w:val="20"/>
                <w:szCs w:val="20"/>
                <w:lang w:eastAsia="de-CH"/>
              </w:rPr>
            </w:pPr>
          </w:p>
        </w:tc>
        <w:tc>
          <w:tcPr>
            <w:tcW w:w="4248" w:type="pct"/>
            <w:tcBorders>
              <w:top w:val="nil"/>
              <w:left w:val="nil"/>
              <w:bottom w:val="nil"/>
              <w:right w:val="single" w:sz="12" w:space="0" w:color="auto"/>
            </w:tcBorders>
            <w:shd w:val="clear" w:color="auto" w:fill="auto"/>
            <w:noWrap/>
            <w:vAlign w:val="bottom"/>
            <w:hideMark/>
          </w:tcPr>
          <w:p w14:paraId="49530D58" w14:textId="77777777" w:rsidR="0076368D" w:rsidRPr="00731C45" w:rsidRDefault="0076368D" w:rsidP="005851DB">
            <w:pPr>
              <w:tabs>
                <w:tab w:val="clear" w:pos="5103"/>
              </w:tabs>
              <w:spacing w:after="0"/>
              <w:jc w:val="right"/>
              <w:rPr>
                <w:rFonts w:ascii="Times New Roman" w:eastAsia="Times New Roman" w:hAnsi="Times New Roman" w:cs="Times New Roman"/>
                <w:sz w:val="20"/>
                <w:szCs w:val="20"/>
                <w:lang w:eastAsia="de-CH"/>
              </w:rPr>
            </w:pPr>
          </w:p>
        </w:tc>
        <w:tc>
          <w:tcPr>
            <w:tcW w:w="624" w:type="pct"/>
            <w:tcBorders>
              <w:top w:val="nil"/>
              <w:left w:val="single" w:sz="12" w:space="0" w:color="auto"/>
              <w:bottom w:val="nil"/>
              <w:right w:val="nil"/>
            </w:tcBorders>
            <w:shd w:val="clear" w:color="auto" w:fill="auto"/>
            <w:noWrap/>
            <w:vAlign w:val="bottom"/>
            <w:hideMark/>
          </w:tcPr>
          <w:p w14:paraId="1233C369" w14:textId="77777777" w:rsidR="0076368D" w:rsidRPr="00731C45" w:rsidRDefault="0076368D" w:rsidP="005851DB">
            <w:pPr>
              <w:tabs>
                <w:tab w:val="clear" w:pos="5103"/>
              </w:tabs>
              <w:spacing w:after="0"/>
              <w:rPr>
                <w:rFonts w:eastAsia="Times New Roman" w:cs="Arial"/>
                <w:color w:val="000000"/>
                <w:sz w:val="20"/>
                <w:szCs w:val="20"/>
                <w:lang w:eastAsia="de-CH"/>
              </w:rPr>
            </w:pPr>
            <w:r w:rsidRPr="00731C45">
              <w:rPr>
                <w:rFonts w:eastAsia="Times New Roman" w:cs="Arial"/>
                <w:color w:val="000000"/>
                <w:sz w:val="20"/>
                <w:szCs w:val="20"/>
                <w:lang w:eastAsia="de-CH"/>
              </w:rPr>
              <w:t> </w:t>
            </w:r>
          </w:p>
        </w:tc>
      </w:tr>
      <w:tr w:rsidR="0076368D" w:rsidRPr="00731C45" w14:paraId="2E5E5DA6" w14:textId="77777777" w:rsidTr="005851DB">
        <w:trPr>
          <w:trHeight w:val="280"/>
        </w:trPr>
        <w:tc>
          <w:tcPr>
            <w:tcW w:w="4376" w:type="pct"/>
            <w:gridSpan w:val="2"/>
            <w:tcBorders>
              <w:top w:val="nil"/>
              <w:left w:val="nil"/>
              <w:bottom w:val="single" w:sz="4" w:space="0" w:color="auto"/>
              <w:right w:val="single" w:sz="12" w:space="0" w:color="auto"/>
            </w:tcBorders>
            <w:shd w:val="clear" w:color="auto" w:fill="auto"/>
            <w:noWrap/>
            <w:vAlign w:val="bottom"/>
            <w:hideMark/>
          </w:tcPr>
          <w:p w14:paraId="2CEFA387" w14:textId="77777777" w:rsidR="0076368D" w:rsidRPr="00D81A14" w:rsidRDefault="0076368D" w:rsidP="005851DB">
            <w:pPr>
              <w:tabs>
                <w:tab w:val="clear" w:pos="5103"/>
              </w:tabs>
              <w:spacing w:after="0"/>
              <w:rPr>
                <w:rFonts w:eastAsia="Times New Roman" w:cs="Arial"/>
                <w:b/>
                <w:color w:val="000000"/>
                <w:sz w:val="20"/>
                <w:szCs w:val="20"/>
                <w:lang w:eastAsia="de-CH"/>
              </w:rPr>
            </w:pPr>
            <w:r w:rsidRPr="00D81A14">
              <w:rPr>
                <w:rFonts w:eastAsia="Times New Roman" w:cs="Arial"/>
                <w:b/>
                <w:color w:val="000000"/>
                <w:sz w:val="20"/>
                <w:szCs w:val="20"/>
                <w:lang w:eastAsia="de-CH"/>
              </w:rPr>
              <w:t>Mietzinsbeitrag</w:t>
            </w:r>
          </w:p>
        </w:tc>
        <w:tc>
          <w:tcPr>
            <w:tcW w:w="624" w:type="pct"/>
            <w:tcBorders>
              <w:top w:val="nil"/>
              <w:left w:val="single" w:sz="12" w:space="0" w:color="auto"/>
              <w:bottom w:val="single" w:sz="12" w:space="0" w:color="auto"/>
              <w:right w:val="nil"/>
            </w:tcBorders>
            <w:shd w:val="clear" w:color="auto" w:fill="auto"/>
            <w:noWrap/>
            <w:vAlign w:val="bottom"/>
            <w:hideMark/>
          </w:tcPr>
          <w:p w14:paraId="00614345" w14:textId="77777777" w:rsidR="0076368D" w:rsidRPr="00731C45" w:rsidRDefault="0076368D" w:rsidP="005851DB">
            <w:pPr>
              <w:tabs>
                <w:tab w:val="clear" w:pos="5103"/>
              </w:tabs>
              <w:spacing w:after="0"/>
              <w:rPr>
                <w:rFonts w:eastAsia="Times New Roman" w:cs="Arial"/>
                <w:color w:val="000000"/>
                <w:sz w:val="20"/>
                <w:szCs w:val="20"/>
                <w:lang w:eastAsia="de-CH"/>
              </w:rPr>
            </w:pPr>
            <w:r w:rsidRPr="00731C45">
              <w:rPr>
                <w:rFonts w:eastAsia="Times New Roman" w:cs="Arial"/>
                <w:color w:val="000000"/>
                <w:sz w:val="20"/>
                <w:szCs w:val="20"/>
                <w:lang w:eastAsia="de-CH"/>
              </w:rPr>
              <w:t> </w:t>
            </w:r>
          </w:p>
        </w:tc>
      </w:tr>
      <w:tr w:rsidR="0076368D" w:rsidRPr="00731C45" w14:paraId="4FA769DE" w14:textId="77777777" w:rsidTr="005851DB">
        <w:trPr>
          <w:trHeight w:val="280"/>
        </w:trPr>
        <w:tc>
          <w:tcPr>
            <w:tcW w:w="128" w:type="pct"/>
            <w:tcBorders>
              <w:top w:val="single" w:sz="12" w:space="0" w:color="auto"/>
              <w:left w:val="nil"/>
              <w:bottom w:val="nil"/>
              <w:right w:val="nil"/>
            </w:tcBorders>
            <w:shd w:val="clear" w:color="auto" w:fill="auto"/>
            <w:noWrap/>
            <w:vAlign w:val="bottom"/>
            <w:hideMark/>
          </w:tcPr>
          <w:p w14:paraId="753B69E4" w14:textId="77777777" w:rsidR="0076368D" w:rsidRPr="00731C45" w:rsidRDefault="0076368D" w:rsidP="005851DB">
            <w:pPr>
              <w:tabs>
                <w:tab w:val="clear" w:pos="5103"/>
              </w:tabs>
              <w:spacing w:after="0"/>
              <w:rPr>
                <w:rFonts w:eastAsia="Times New Roman" w:cs="Arial"/>
                <w:color w:val="000000"/>
                <w:sz w:val="20"/>
                <w:szCs w:val="20"/>
                <w:lang w:eastAsia="de-CH"/>
              </w:rPr>
            </w:pPr>
          </w:p>
        </w:tc>
        <w:tc>
          <w:tcPr>
            <w:tcW w:w="4248" w:type="pct"/>
            <w:tcBorders>
              <w:top w:val="single" w:sz="12" w:space="0" w:color="auto"/>
              <w:left w:val="nil"/>
              <w:bottom w:val="nil"/>
              <w:right w:val="single" w:sz="12" w:space="0" w:color="auto"/>
            </w:tcBorders>
            <w:shd w:val="clear" w:color="auto" w:fill="auto"/>
            <w:noWrap/>
            <w:vAlign w:val="bottom"/>
            <w:hideMark/>
          </w:tcPr>
          <w:p w14:paraId="035A4E16" w14:textId="24867ADC" w:rsidR="0076368D" w:rsidRPr="00731C45" w:rsidRDefault="00151324" w:rsidP="005851DB">
            <w:pPr>
              <w:tabs>
                <w:tab w:val="clear" w:pos="5103"/>
              </w:tabs>
              <w:spacing w:after="0"/>
              <w:rPr>
                <w:rFonts w:eastAsia="Times New Roman" w:cs="Arial"/>
                <w:color w:val="000000"/>
                <w:sz w:val="20"/>
                <w:szCs w:val="20"/>
                <w:lang w:eastAsia="de-CH"/>
              </w:rPr>
            </w:pPr>
            <w:r>
              <w:rPr>
                <w:rFonts w:eastAsia="Times New Roman" w:cs="Arial"/>
                <w:color w:val="000000"/>
                <w:sz w:val="20"/>
                <w:szCs w:val="20"/>
                <w:lang w:eastAsia="de-CH"/>
              </w:rPr>
              <w:t xml:space="preserve">Angemessene </w:t>
            </w:r>
            <w:r w:rsidR="0076368D" w:rsidRPr="00731C45">
              <w:rPr>
                <w:rFonts w:eastAsia="Times New Roman" w:cs="Arial"/>
                <w:color w:val="000000"/>
                <w:sz w:val="20"/>
                <w:szCs w:val="20"/>
                <w:lang w:eastAsia="de-CH"/>
              </w:rPr>
              <w:t>Jahresnettomiete</w:t>
            </w:r>
          </w:p>
        </w:tc>
        <w:tc>
          <w:tcPr>
            <w:tcW w:w="624" w:type="pct"/>
            <w:tcBorders>
              <w:top w:val="single" w:sz="12" w:space="0" w:color="auto"/>
              <w:left w:val="single" w:sz="12" w:space="0" w:color="auto"/>
              <w:bottom w:val="nil"/>
              <w:right w:val="nil"/>
            </w:tcBorders>
            <w:shd w:val="clear" w:color="auto" w:fill="auto"/>
            <w:noWrap/>
            <w:vAlign w:val="bottom"/>
            <w:hideMark/>
          </w:tcPr>
          <w:p w14:paraId="3A725804" w14:textId="77777777" w:rsidR="0076368D" w:rsidRPr="00731C45" w:rsidRDefault="0076368D" w:rsidP="005851DB">
            <w:pPr>
              <w:tabs>
                <w:tab w:val="clear" w:pos="5103"/>
              </w:tabs>
              <w:spacing w:after="0"/>
              <w:jc w:val="right"/>
              <w:rPr>
                <w:rFonts w:eastAsia="Times New Roman" w:cs="Arial"/>
                <w:color w:val="000000"/>
                <w:sz w:val="20"/>
                <w:szCs w:val="20"/>
                <w:lang w:eastAsia="de-CH"/>
              </w:rPr>
            </w:pPr>
            <w:r w:rsidRPr="00731C45">
              <w:rPr>
                <w:rFonts w:eastAsia="Times New Roman" w:cs="Arial"/>
                <w:color w:val="000000"/>
                <w:sz w:val="20"/>
                <w:szCs w:val="20"/>
                <w:lang w:eastAsia="de-CH"/>
              </w:rPr>
              <w:t>21</w:t>
            </w:r>
            <w:r w:rsidRPr="00000D69">
              <w:rPr>
                <w:rFonts w:eastAsia="Times New Roman" w:cs="Arial"/>
                <w:color w:val="000000"/>
                <w:sz w:val="20"/>
                <w:szCs w:val="20"/>
                <w:lang w:eastAsia="de-CH"/>
              </w:rPr>
              <w:t>’</w:t>
            </w:r>
            <w:r w:rsidRPr="00731C45">
              <w:rPr>
                <w:rFonts w:eastAsia="Times New Roman" w:cs="Arial"/>
                <w:color w:val="000000"/>
                <w:sz w:val="20"/>
                <w:szCs w:val="20"/>
                <w:lang w:eastAsia="de-CH"/>
              </w:rPr>
              <w:t>600</w:t>
            </w:r>
            <w:r w:rsidRPr="00000D69">
              <w:rPr>
                <w:rFonts w:eastAsia="Times New Roman" w:cs="Arial"/>
                <w:color w:val="000000"/>
                <w:sz w:val="20"/>
                <w:szCs w:val="20"/>
                <w:lang w:eastAsia="de-CH"/>
              </w:rPr>
              <w:t>.</w:t>
            </w:r>
            <w:r>
              <w:rPr>
                <w:rFonts w:eastAsia="Times New Roman" w:cs="Arial"/>
                <w:color w:val="000000"/>
                <w:sz w:val="20"/>
                <w:szCs w:val="20"/>
                <w:lang w:eastAsia="de-CH"/>
              </w:rPr>
              <w:t>–</w:t>
            </w:r>
          </w:p>
        </w:tc>
      </w:tr>
      <w:tr w:rsidR="0076368D" w:rsidRPr="00731C45" w14:paraId="1D1E17EB" w14:textId="77777777" w:rsidTr="005851DB">
        <w:trPr>
          <w:trHeight w:val="280"/>
        </w:trPr>
        <w:tc>
          <w:tcPr>
            <w:tcW w:w="128" w:type="pct"/>
            <w:tcBorders>
              <w:top w:val="nil"/>
              <w:left w:val="nil"/>
              <w:bottom w:val="nil"/>
              <w:right w:val="nil"/>
            </w:tcBorders>
            <w:shd w:val="clear" w:color="auto" w:fill="auto"/>
            <w:noWrap/>
            <w:vAlign w:val="bottom"/>
            <w:hideMark/>
          </w:tcPr>
          <w:p w14:paraId="64955060" w14:textId="77777777" w:rsidR="0076368D" w:rsidRPr="00731C45" w:rsidRDefault="0076368D" w:rsidP="005851DB">
            <w:pPr>
              <w:tabs>
                <w:tab w:val="clear" w:pos="5103"/>
              </w:tabs>
              <w:spacing w:after="0"/>
              <w:jc w:val="right"/>
              <w:rPr>
                <w:rFonts w:eastAsia="Times New Roman" w:cs="Arial"/>
                <w:color w:val="000000"/>
                <w:sz w:val="20"/>
                <w:szCs w:val="20"/>
                <w:lang w:eastAsia="de-CH"/>
              </w:rPr>
            </w:pPr>
            <w:r w:rsidRPr="00731C45">
              <w:rPr>
                <w:rFonts w:eastAsia="Times New Roman" w:cs="Arial"/>
                <w:color w:val="000000"/>
                <w:sz w:val="20"/>
                <w:szCs w:val="20"/>
                <w:lang w:eastAsia="de-CH"/>
              </w:rPr>
              <w:t>-</w:t>
            </w:r>
          </w:p>
        </w:tc>
        <w:tc>
          <w:tcPr>
            <w:tcW w:w="4248" w:type="pct"/>
            <w:tcBorders>
              <w:top w:val="nil"/>
              <w:left w:val="nil"/>
              <w:bottom w:val="single" w:sz="4" w:space="0" w:color="auto"/>
              <w:right w:val="single" w:sz="12" w:space="0" w:color="auto"/>
            </w:tcBorders>
            <w:shd w:val="clear" w:color="auto" w:fill="auto"/>
            <w:noWrap/>
            <w:vAlign w:val="bottom"/>
            <w:hideMark/>
          </w:tcPr>
          <w:p w14:paraId="4F394DD6" w14:textId="77777777" w:rsidR="0076368D" w:rsidRPr="00731C45" w:rsidRDefault="0076368D" w:rsidP="005851DB">
            <w:pPr>
              <w:tabs>
                <w:tab w:val="clear" w:pos="5103"/>
              </w:tabs>
              <w:spacing w:after="0"/>
              <w:rPr>
                <w:rFonts w:eastAsia="Times New Roman" w:cs="Arial"/>
                <w:color w:val="000000"/>
                <w:sz w:val="20"/>
                <w:szCs w:val="20"/>
                <w:lang w:eastAsia="de-CH"/>
              </w:rPr>
            </w:pPr>
            <w:r w:rsidRPr="00731C45">
              <w:rPr>
                <w:rFonts w:eastAsia="Times New Roman" w:cs="Arial"/>
                <w:color w:val="000000"/>
                <w:sz w:val="20"/>
                <w:szCs w:val="20"/>
                <w:lang w:eastAsia="de-CH"/>
              </w:rPr>
              <w:t>tragbares Mass der Mietzinsbelastung</w:t>
            </w:r>
          </w:p>
        </w:tc>
        <w:tc>
          <w:tcPr>
            <w:tcW w:w="624" w:type="pct"/>
            <w:tcBorders>
              <w:top w:val="nil"/>
              <w:left w:val="single" w:sz="12" w:space="0" w:color="auto"/>
              <w:bottom w:val="single" w:sz="4" w:space="0" w:color="auto"/>
              <w:right w:val="nil"/>
            </w:tcBorders>
            <w:shd w:val="clear" w:color="auto" w:fill="auto"/>
            <w:noWrap/>
            <w:vAlign w:val="bottom"/>
            <w:hideMark/>
          </w:tcPr>
          <w:p w14:paraId="646BF836" w14:textId="645E2262" w:rsidR="0076368D" w:rsidRPr="00731C45" w:rsidRDefault="0076368D" w:rsidP="00492C79">
            <w:pPr>
              <w:tabs>
                <w:tab w:val="clear" w:pos="5103"/>
              </w:tabs>
              <w:spacing w:after="0"/>
              <w:jc w:val="right"/>
              <w:rPr>
                <w:rFonts w:eastAsia="Times New Roman" w:cs="Arial"/>
                <w:color w:val="000000"/>
                <w:sz w:val="20"/>
                <w:szCs w:val="20"/>
                <w:lang w:eastAsia="de-CH"/>
              </w:rPr>
            </w:pPr>
            <w:r>
              <w:rPr>
                <w:rFonts w:eastAsia="Times New Roman" w:cs="Arial"/>
                <w:color w:val="000000"/>
                <w:sz w:val="20"/>
                <w:szCs w:val="20"/>
                <w:lang w:eastAsia="de-CH"/>
              </w:rPr>
              <w:t>-</w:t>
            </w:r>
            <w:r w:rsidR="00492C79">
              <w:rPr>
                <w:rFonts w:eastAsia="Times New Roman" w:cs="Arial"/>
                <w:color w:val="000000"/>
                <w:sz w:val="20"/>
                <w:szCs w:val="20"/>
                <w:lang w:eastAsia="de-CH"/>
              </w:rPr>
              <w:t>16’908</w:t>
            </w:r>
            <w:r w:rsidRPr="00000D69">
              <w:rPr>
                <w:rFonts w:eastAsia="Times New Roman" w:cs="Arial"/>
                <w:color w:val="000000"/>
                <w:sz w:val="20"/>
                <w:szCs w:val="20"/>
                <w:lang w:eastAsia="de-CH"/>
              </w:rPr>
              <w:t>.</w:t>
            </w:r>
            <w:r>
              <w:rPr>
                <w:rFonts w:eastAsia="Times New Roman" w:cs="Arial"/>
                <w:color w:val="000000"/>
                <w:sz w:val="20"/>
                <w:szCs w:val="20"/>
                <w:lang w:eastAsia="de-CH"/>
              </w:rPr>
              <w:t>–</w:t>
            </w:r>
          </w:p>
        </w:tc>
      </w:tr>
      <w:tr w:rsidR="0076368D" w:rsidRPr="00731C45" w14:paraId="5C0A786F" w14:textId="77777777" w:rsidTr="005851DB">
        <w:trPr>
          <w:trHeight w:val="290"/>
        </w:trPr>
        <w:tc>
          <w:tcPr>
            <w:tcW w:w="128" w:type="pct"/>
            <w:tcBorders>
              <w:top w:val="nil"/>
              <w:left w:val="nil"/>
              <w:bottom w:val="nil"/>
              <w:right w:val="nil"/>
            </w:tcBorders>
            <w:shd w:val="clear" w:color="auto" w:fill="auto"/>
            <w:noWrap/>
            <w:vAlign w:val="bottom"/>
            <w:hideMark/>
          </w:tcPr>
          <w:p w14:paraId="26886638" w14:textId="77777777" w:rsidR="0076368D" w:rsidRPr="00731C45" w:rsidRDefault="0076368D" w:rsidP="005851DB">
            <w:pPr>
              <w:tabs>
                <w:tab w:val="clear" w:pos="5103"/>
              </w:tabs>
              <w:spacing w:after="0"/>
              <w:jc w:val="right"/>
              <w:rPr>
                <w:rFonts w:eastAsia="Times New Roman" w:cs="Arial"/>
                <w:b/>
                <w:color w:val="000000"/>
                <w:sz w:val="20"/>
                <w:szCs w:val="20"/>
                <w:lang w:eastAsia="de-CH"/>
              </w:rPr>
            </w:pPr>
            <w:r w:rsidRPr="00731C45">
              <w:rPr>
                <w:rFonts w:eastAsia="Times New Roman" w:cs="Arial"/>
                <w:b/>
                <w:color w:val="000000"/>
                <w:sz w:val="20"/>
                <w:szCs w:val="20"/>
                <w:lang w:eastAsia="de-CH"/>
              </w:rPr>
              <w:t>=</w:t>
            </w:r>
          </w:p>
        </w:tc>
        <w:tc>
          <w:tcPr>
            <w:tcW w:w="4248" w:type="pct"/>
            <w:tcBorders>
              <w:top w:val="nil"/>
              <w:left w:val="nil"/>
              <w:bottom w:val="double" w:sz="4" w:space="0" w:color="auto"/>
              <w:right w:val="single" w:sz="12" w:space="0" w:color="auto"/>
            </w:tcBorders>
            <w:shd w:val="clear" w:color="auto" w:fill="auto"/>
            <w:noWrap/>
            <w:vAlign w:val="bottom"/>
            <w:hideMark/>
          </w:tcPr>
          <w:p w14:paraId="59C62FA2" w14:textId="77777777" w:rsidR="0076368D" w:rsidRPr="00731C45" w:rsidRDefault="0076368D" w:rsidP="005851DB">
            <w:pPr>
              <w:tabs>
                <w:tab w:val="clear" w:pos="5103"/>
              </w:tabs>
              <w:spacing w:after="0"/>
              <w:rPr>
                <w:rFonts w:eastAsia="Times New Roman" w:cs="Arial"/>
                <w:b/>
                <w:color w:val="000000"/>
                <w:sz w:val="20"/>
                <w:szCs w:val="20"/>
                <w:lang w:eastAsia="de-CH"/>
              </w:rPr>
            </w:pPr>
            <w:r w:rsidRPr="00731C45">
              <w:rPr>
                <w:rFonts w:eastAsia="Times New Roman" w:cs="Arial"/>
                <w:b/>
                <w:color w:val="000000"/>
                <w:sz w:val="20"/>
                <w:szCs w:val="20"/>
                <w:lang w:eastAsia="de-CH"/>
              </w:rPr>
              <w:t>Mietzinsbeitrag</w:t>
            </w:r>
          </w:p>
        </w:tc>
        <w:tc>
          <w:tcPr>
            <w:tcW w:w="624" w:type="pct"/>
            <w:tcBorders>
              <w:top w:val="nil"/>
              <w:left w:val="single" w:sz="12" w:space="0" w:color="auto"/>
              <w:bottom w:val="double" w:sz="6" w:space="0" w:color="auto"/>
              <w:right w:val="nil"/>
            </w:tcBorders>
            <w:shd w:val="clear" w:color="auto" w:fill="auto"/>
            <w:noWrap/>
            <w:vAlign w:val="bottom"/>
            <w:hideMark/>
          </w:tcPr>
          <w:p w14:paraId="231E4A05" w14:textId="57162FF4" w:rsidR="0076368D" w:rsidRPr="00731C45" w:rsidRDefault="00492C79" w:rsidP="005851DB">
            <w:pPr>
              <w:tabs>
                <w:tab w:val="clear" w:pos="5103"/>
              </w:tabs>
              <w:spacing w:after="0"/>
              <w:jc w:val="right"/>
              <w:rPr>
                <w:rFonts w:eastAsia="Times New Roman" w:cs="Arial"/>
                <w:b/>
                <w:color w:val="000000"/>
                <w:sz w:val="20"/>
                <w:szCs w:val="20"/>
                <w:lang w:eastAsia="de-CH"/>
              </w:rPr>
            </w:pPr>
            <w:r>
              <w:rPr>
                <w:rFonts w:eastAsia="Times New Roman" w:cs="Arial"/>
                <w:b/>
                <w:color w:val="000000"/>
                <w:sz w:val="20"/>
                <w:szCs w:val="20"/>
                <w:lang w:eastAsia="de-CH"/>
              </w:rPr>
              <w:t>4’692</w:t>
            </w:r>
            <w:r w:rsidR="0076368D" w:rsidRPr="00000D69">
              <w:rPr>
                <w:rFonts w:eastAsia="Times New Roman" w:cs="Arial"/>
                <w:b/>
                <w:color w:val="000000"/>
                <w:sz w:val="20"/>
                <w:szCs w:val="20"/>
                <w:lang w:eastAsia="de-CH"/>
              </w:rPr>
              <w:t>.</w:t>
            </w:r>
            <w:r w:rsidR="0076368D">
              <w:rPr>
                <w:rFonts w:eastAsia="Times New Roman" w:cs="Arial"/>
                <w:b/>
                <w:color w:val="000000"/>
                <w:sz w:val="20"/>
                <w:szCs w:val="20"/>
                <w:lang w:eastAsia="de-CH"/>
              </w:rPr>
              <w:t>–</w:t>
            </w:r>
          </w:p>
        </w:tc>
      </w:tr>
      <w:tr w:rsidR="0076368D" w:rsidRPr="00731C45" w14:paraId="689FADFC" w14:textId="77777777" w:rsidTr="005851DB">
        <w:trPr>
          <w:trHeight w:val="290"/>
        </w:trPr>
        <w:tc>
          <w:tcPr>
            <w:tcW w:w="128" w:type="pct"/>
            <w:tcBorders>
              <w:top w:val="nil"/>
              <w:left w:val="nil"/>
              <w:bottom w:val="nil"/>
              <w:right w:val="nil"/>
            </w:tcBorders>
            <w:shd w:val="clear" w:color="auto" w:fill="auto"/>
            <w:noWrap/>
            <w:vAlign w:val="bottom"/>
          </w:tcPr>
          <w:p w14:paraId="18BB1344" w14:textId="77777777" w:rsidR="0076368D" w:rsidRPr="00000D69" w:rsidRDefault="0076368D" w:rsidP="005851DB">
            <w:pPr>
              <w:tabs>
                <w:tab w:val="clear" w:pos="5103"/>
              </w:tabs>
              <w:spacing w:after="0"/>
              <w:jc w:val="right"/>
              <w:rPr>
                <w:rFonts w:eastAsia="Times New Roman" w:cs="Arial"/>
                <w:color w:val="000000"/>
                <w:sz w:val="20"/>
                <w:szCs w:val="20"/>
                <w:lang w:eastAsia="de-CH"/>
              </w:rPr>
            </w:pPr>
          </w:p>
        </w:tc>
        <w:tc>
          <w:tcPr>
            <w:tcW w:w="4248" w:type="pct"/>
            <w:tcBorders>
              <w:top w:val="double" w:sz="4" w:space="0" w:color="auto"/>
              <w:left w:val="nil"/>
              <w:bottom w:val="single" w:sz="4" w:space="0" w:color="auto"/>
              <w:right w:val="single" w:sz="12" w:space="0" w:color="auto"/>
            </w:tcBorders>
            <w:shd w:val="clear" w:color="auto" w:fill="auto"/>
            <w:noWrap/>
            <w:vAlign w:val="bottom"/>
          </w:tcPr>
          <w:p w14:paraId="5BDEE27B" w14:textId="77777777" w:rsidR="0076368D" w:rsidRPr="00000D69" w:rsidRDefault="0076368D" w:rsidP="005851DB">
            <w:pPr>
              <w:tabs>
                <w:tab w:val="clear" w:pos="5103"/>
              </w:tabs>
              <w:spacing w:after="0"/>
              <w:rPr>
                <w:rFonts w:eastAsia="Times New Roman" w:cs="Arial"/>
                <w:color w:val="000000"/>
                <w:sz w:val="20"/>
                <w:szCs w:val="20"/>
                <w:lang w:eastAsia="de-CH"/>
              </w:rPr>
            </w:pPr>
            <w:r w:rsidRPr="00000D69">
              <w:rPr>
                <w:rFonts w:eastAsia="Times New Roman" w:cs="Arial"/>
                <w:color w:val="000000"/>
                <w:sz w:val="20"/>
                <w:szCs w:val="20"/>
                <w:lang w:eastAsia="de-CH"/>
              </w:rPr>
              <w:t>Mietzinsbeitrag beträgt &lt; 75 % der Jahresnettomiete?</w:t>
            </w:r>
          </w:p>
        </w:tc>
        <w:tc>
          <w:tcPr>
            <w:tcW w:w="624" w:type="pct"/>
            <w:tcBorders>
              <w:top w:val="nil"/>
              <w:left w:val="single" w:sz="12" w:space="0" w:color="auto"/>
              <w:bottom w:val="single" w:sz="4" w:space="0" w:color="auto"/>
              <w:right w:val="nil"/>
            </w:tcBorders>
            <w:shd w:val="clear" w:color="auto" w:fill="auto"/>
            <w:noWrap/>
            <w:vAlign w:val="bottom"/>
          </w:tcPr>
          <w:p w14:paraId="10A36D2A" w14:textId="77777777" w:rsidR="0076368D" w:rsidRPr="00000D69" w:rsidRDefault="0076368D" w:rsidP="005851DB">
            <w:pPr>
              <w:tabs>
                <w:tab w:val="clear" w:pos="5103"/>
              </w:tabs>
              <w:spacing w:after="0"/>
              <w:jc w:val="right"/>
              <w:rPr>
                <w:rFonts w:eastAsia="Times New Roman" w:cs="Arial"/>
                <w:color w:val="000000"/>
                <w:sz w:val="20"/>
                <w:szCs w:val="20"/>
                <w:lang w:eastAsia="de-CH"/>
              </w:rPr>
            </w:pPr>
            <w:r w:rsidRPr="00000D69">
              <w:rPr>
                <w:rFonts w:eastAsia="Times New Roman" w:cs="Arial"/>
                <w:color w:val="000000"/>
                <w:sz w:val="20"/>
                <w:szCs w:val="20"/>
                <w:rtl/>
                <w:lang w:eastAsia="de-CH"/>
              </w:rPr>
              <w:t>Ja</w:t>
            </w:r>
          </w:p>
        </w:tc>
      </w:tr>
      <w:tr w:rsidR="0076368D" w:rsidRPr="00731C45" w14:paraId="66C5AFC6" w14:textId="77777777" w:rsidTr="005851DB">
        <w:trPr>
          <w:trHeight w:val="290"/>
        </w:trPr>
        <w:tc>
          <w:tcPr>
            <w:tcW w:w="128" w:type="pct"/>
            <w:tcBorders>
              <w:top w:val="nil"/>
              <w:left w:val="nil"/>
              <w:bottom w:val="nil"/>
              <w:right w:val="nil"/>
            </w:tcBorders>
            <w:shd w:val="clear" w:color="auto" w:fill="auto"/>
            <w:noWrap/>
            <w:vAlign w:val="bottom"/>
          </w:tcPr>
          <w:p w14:paraId="50E2928F" w14:textId="77777777" w:rsidR="0076368D" w:rsidRPr="00000D69" w:rsidRDefault="0076368D" w:rsidP="005851DB">
            <w:pPr>
              <w:tabs>
                <w:tab w:val="clear" w:pos="5103"/>
              </w:tabs>
              <w:spacing w:after="0"/>
              <w:jc w:val="right"/>
              <w:rPr>
                <w:rFonts w:eastAsia="Times New Roman" w:cs="Arial"/>
                <w:color w:val="000000"/>
                <w:sz w:val="20"/>
                <w:szCs w:val="20"/>
                <w:lang w:eastAsia="de-CH"/>
              </w:rPr>
            </w:pPr>
          </w:p>
        </w:tc>
        <w:tc>
          <w:tcPr>
            <w:tcW w:w="4248" w:type="pct"/>
            <w:tcBorders>
              <w:top w:val="single" w:sz="4" w:space="0" w:color="auto"/>
              <w:left w:val="nil"/>
              <w:bottom w:val="single" w:sz="2" w:space="0" w:color="auto"/>
              <w:right w:val="single" w:sz="12" w:space="0" w:color="auto"/>
            </w:tcBorders>
            <w:shd w:val="clear" w:color="auto" w:fill="auto"/>
            <w:noWrap/>
            <w:vAlign w:val="bottom"/>
          </w:tcPr>
          <w:p w14:paraId="1F1D5503" w14:textId="77777777" w:rsidR="0076368D" w:rsidRPr="00000D69" w:rsidRDefault="0076368D" w:rsidP="005851DB">
            <w:pPr>
              <w:tabs>
                <w:tab w:val="clear" w:pos="5103"/>
              </w:tabs>
              <w:spacing w:after="0"/>
              <w:rPr>
                <w:rFonts w:eastAsia="Times New Roman" w:cs="Arial"/>
                <w:color w:val="000000"/>
                <w:sz w:val="20"/>
                <w:szCs w:val="20"/>
                <w:lang w:eastAsia="de-CH"/>
              </w:rPr>
            </w:pPr>
            <w:r w:rsidRPr="00000D69">
              <w:rPr>
                <w:rFonts w:eastAsia="Times New Roman" w:cs="Arial"/>
                <w:sz w:val="20"/>
                <w:szCs w:val="20"/>
                <w:lang w:eastAsia="de-CH"/>
              </w:rPr>
              <w:t>Mietzinsbeitrag pro Monat</w:t>
            </w:r>
          </w:p>
        </w:tc>
        <w:tc>
          <w:tcPr>
            <w:tcW w:w="624" w:type="pct"/>
            <w:tcBorders>
              <w:top w:val="single" w:sz="4" w:space="0" w:color="auto"/>
              <w:left w:val="single" w:sz="12" w:space="0" w:color="auto"/>
              <w:bottom w:val="single" w:sz="2" w:space="0" w:color="auto"/>
              <w:right w:val="nil"/>
            </w:tcBorders>
            <w:shd w:val="clear" w:color="auto" w:fill="auto"/>
            <w:noWrap/>
            <w:vAlign w:val="bottom"/>
          </w:tcPr>
          <w:p w14:paraId="43531E7E" w14:textId="5872350F" w:rsidR="0076368D" w:rsidRPr="00000D69" w:rsidRDefault="00492C79" w:rsidP="005851DB">
            <w:pPr>
              <w:tabs>
                <w:tab w:val="clear" w:pos="5103"/>
              </w:tabs>
              <w:spacing w:after="0"/>
              <w:jc w:val="right"/>
              <w:rPr>
                <w:rFonts w:eastAsia="Times New Roman" w:cs="Arial"/>
                <w:color w:val="000000"/>
                <w:sz w:val="20"/>
                <w:szCs w:val="20"/>
                <w:lang w:eastAsia="de-CH"/>
              </w:rPr>
            </w:pPr>
            <w:r>
              <w:rPr>
                <w:rFonts w:eastAsia="Times New Roman" w:cs="Arial"/>
                <w:color w:val="000000"/>
                <w:sz w:val="20"/>
                <w:szCs w:val="20"/>
                <w:lang w:eastAsia="de-CH"/>
              </w:rPr>
              <w:t>391</w:t>
            </w:r>
            <w:r w:rsidR="0076368D" w:rsidRPr="00000D69">
              <w:rPr>
                <w:rFonts w:eastAsia="Times New Roman" w:cs="Arial"/>
                <w:color w:val="000000"/>
                <w:sz w:val="20"/>
                <w:szCs w:val="20"/>
                <w:lang w:eastAsia="de-CH"/>
              </w:rPr>
              <w:t>.</w:t>
            </w:r>
            <w:r w:rsidR="0076368D">
              <w:rPr>
                <w:rFonts w:eastAsia="Times New Roman" w:cs="Arial"/>
                <w:color w:val="000000"/>
                <w:sz w:val="20"/>
                <w:szCs w:val="20"/>
                <w:lang w:eastAsia="de-CH"/>
              </w:rPr>
              <w:t>–</w:t>
            </w:r>
          </w:p>
        </w:tc>
      </w:tr>
    </w:tbl>
    <w:p w14:paraId="74458389" w14:textId="312A4D23" w:rsidR="0076368D" w:rsidRPr="0076368D" w:rsidRDefault="0076368D" w:rsidP="0076368D">
      <w:pPr>
        <w:jc w:val="both"/>
      </w:pPr>
    </w:p>
    <w:sectPr w:rsidR="0076368D" w:rsidRPr="0076368D" w:rsidSect="0070159F">
      <w:headerReference w:type="default" r:id="rId30"/>
      <w:footerReference w:type="default" r:id="rId31"/>
      <w:headerReference w:type="first" r:id="rId32"/>
      <w:type w:val="continuous"/>
      <w:pgSz w:w="11900" w:h="16840" w:code="9"/>
      <w:pgMar w:top="1796" w:right="851" w:bottom="851" w:left="1418"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35DA" w14:textId="77777777" w:rsidR="005F5B4B" w:rsidRDefault="005F5B4B" w:rsidP="00CE1DA8">
      <w:r>
        <w:separator/>
      </w:r>
    </w:p>
  </w:endnote>
  <w:endnote w:type="continuationSeparator" w:id="0">
    <w:p w14:paraId="527B34D2" w14:textId="77777777" w:rsidR="005F5B4B" w:rsidRDefault="005F5B4B" w:rsidP="00CE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gridCol w:w="567"/>
    </w:tblGrid>
    <w:tr w:rsidR="005F5B4B" w14:paraId="111773C0" w14:textId="77777777" w:rsidTr="005851DB">
      <w:tc>
        <w:tcPr>
          <w:tcW w:w="9071" w:type="dxa"/>
          <w:tcMar>
            <w:left w:w="0" w:type="dxa"/>
            <w:right w:w="0" w:type="dxa"/>
          </w:tcMar>
          <w:vAlign w:val="bottom"/>
        </w:tcPr>
        <w:p w14:paraId="52E0E5A7" w14:textId="77777777" w:rsidR="005F5B4B" w:rsidRDefault="005F5B4B" w:rsidP="00D97BE7">
          <w:pPr>
            <w:pStyle w:val="Seitenzahlrechts"/>
          </w:pPr>
        </w:p>
      </w:tc>
      <w:tc>
        <w:tcPr>
          <w:tcW w:w="567" w:type="dxa"/>
          <w:tcMar>
            <w:left w:w="0" w:type="dxa"/>
            <w:right w:w="0" w:type="dxa"/>
          </w:tcMar>
          <w:vAlign w:val="bottom"/>
        </w:tcPr>
        <w:p w14:paraId="18D7279D" w14:textId="3A750FC1" w:rsidR="005F5B4B" w:rsidRDefault="005F5B4B" w:rsidP="005851DB">
          <w:pPr>
            <w:pStyle w:val="Seitenzahlrechts"/>
            <w:jc w:val="right"/>
          </w:pPr>
          <w:r>
            <w:fldChar w:fldCharType="begin"/>
          </w:r>
          <w:r>
            <w:instrText xml:space="preserve"> PAGE  </w:instrText>
          </w:r>
          <w:r>
            <w:fldChar w:fldCharType="separate"/>
          </w:r>
          <w:r w:rsidR="002943D2">
            <w:rPr>
              <w:noProof/>
            </w:rPr>
            <w:t>20</w:t>
          </w:r>
          <w:r>
            <w:fldChar w:fldCharType="end"/>
          </w:r>
          <w:r>
            <w:t>/</w:t>
          </w:r>
          <w:r>
            <w:fldChar w:fldCharType="begin"/>
          </w:r>
          <w:r>
            <w:instrText xml:space="preserve"> NUMPAGES  </w:instrText>
          </w:r>
          <w:r>
            <w:fldChar w:fldCharType="separate"/>
          </w:r>
          <w:r w:rsidR="002943D2">
            <w:rPr>
              <w:noProof/>
            </w:rPr>
            <w:t>21</w:t>
          </w:r>
          <w:r>
            <w:rPr>
              <w:noProof/>
            </w:rPr>
            <w:fldChar w:fldCharType="end"/>
          </w:r>
        </w:p>
      </w:tc>
    </w:tr>
  </w:tbl>
  <w:p w14:paraId="4BC04BB0" w14:textId="77777777" w:rsidR="005F5B4B" w:rsidRPr="007D4887" w:rsidRDefault="005F5B4B" w:rsidP="002F6BEF">
    <w:pPr>
      <w:pStyle w:val="Seitenzahlrechts"/>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E683" w14:textId="77777777" w:rsidR="005F5B4B" w:rsidRDefault="005F5B4B" w:rsidP="00CE1DA8">
      <w:r>
        <w:separator/>
      </w:r>
    </w:p>
  </w:footnote>
  <w:footnote w:type="continuationSeparator" w:id="0">
    <w:p w14:paraId="5FB523E9" w14:textId="77777777" w:rsidR="005F5B4B" w:rsidRDefault="005F5B4B" w:rsidP="00CE1DA8">
      <w:r>
        <w:continuationSeparator/>
      </w:r>
    </w:p>
  </w:footnote>
  <w:footnote w:id="1">
    <w:p w14:paraId="7E70877A" w14:textId="681E0389" w:rsidR="005F5B4B" w:rsidRDefault="005F5B4B" w:rsidP="0076368D">
      <w:pPr>
        <w:spacing w:before="40" w:after="60" w:line="240" w:lineRule="exact"/>
      </w:pPr>
      <w:r>
        <w:rPr>
          <w:rStyle w:val="Funotenzeichen"/>
        </w:rPr>
        <w:footnoteRef/>
      </w:r>
      <w:r>
        <w:t xml:space="preserve"> </w:t>
      </w:r>
      <w:r w:rsidRPr="00B750F1">
        <w:rPr>
          <w:rFonts w:cs="Arial"/>
          <w:sz w:val="18"/>
          <w:szCs w:val="18"/>
        </w:rPr>
        <w:t>Im Jahr 202</w:t>
      </w:r>
      <w:r>
        <w:rPr>
          <w:rFonts w:cs="Arial"/>
          <w:sz w:val="18"/>
          <w:szCs w:val="18"/>
        </w:rPr>
        <w:t>3</w:t>
      </w:r>
      <w:r w:rsidRPr="00B750F1">
        <w:rPr>
          <w:rFonts w:cs="Arial"/>
          <w:sz w:val="18"/>
          <w:szCs w:val="18"/>
        </w:rPr>
        <w:t xml:space="preserve"> beträgt die Jahresrichtprämie für eine alleinerziehende Mutter mit einem Kind CHF </w:t>
      </w:r>
      <w:r>
        <w:rPr>
          <w:rFonts w:cs="Arial"/>
          <w:sz w:val="18"/>
          <w:szCs w:val="18"/>
        </w:rPr>
        <w:t>5</w:t>
      </w:r>
      <w:r w:rsidRPr="00B750F1">
        <w:rPr>
          <w:rFonts w:cs="Arial"/>
          <w:sz w:val="18"/>
          <w:szCs w:val="18"/>
        </w:rPr>
        <w:t>'</w:t>
      </w:r>
      <w:r>
        <w:rPr>
          <w:rFonts w:cs="Arial"/>
          <w:sz w:val="18"/>
          <w:szCs w:val="18"/>
        </w:rPr>
        <w:t>364.–</w:t>
      </w:r>
      <w:r w:rsidRPr="00B750F1">
        <w:rPr>
          <w:rFonts w:cs="Arial"/>
          <w:sz w:val="18"/>
          <w:szCs w:val="18"/>
        </w:rPr>
        <w:t xml:space="preserve"> (vgl. § 5 Abs. 1 der Prämienverbilligungsverordnung (</w:t>
      </w:r>
      <w:hyperlink r:id="rId1" w:history="1">
        <w:r w:rsidRPr="00F03619">
          <w:rPr>
            <w:rStyle w:val="Hyperlink"/>
            <w:rFonts w:cs="Arial"/>
            <w:sz w:val="18"/>
            <w:szCs w:val="18"/>
          </w:rPr>
          <w:t>SGS 362.12</w:t>
        </w:r>
      </w:hyperlink>
      <w:r w:rsidRPr="00B750F1">
        <w:rPr>
          <w:rFonts w:cs="Arial"/>
          <w:sz w:val="18"/>
          <w:szCs w:val="18"/>
        </w:rPr>
        <w:t xml:space="preserve">)). Das sind 12*CHF </w:t>
      </w:r>
      <w:r>
        <w:rPr>
          <w:rFonts w:cs="Arial"/>
          <w:sz w:val="18"/>
          <w:szCs w:val="18"/>
        </w:rPr>
        <w:t>305</w:t>
      </w:r>
      <w:r w:rsidRPr="00B750F1">
        <w:rPr>
          <w:rFonts w:cs="Arial"/>
          <w:sz w:val="18"/>
          <w:szCs w:val="18"/>
        </w:rPr>
        <w:t>.</w:t>
      </w:r>
      <w:r>
        <w:rPr>
          <w:rFonts w:cs="Arial"/>
          <w:sz w:val="18"/>
          <w:szCs w:val="18"/>
        </w:rPr>
        <w:t>–</w:t>
      </w:r>
      <w:r w:rsidRPr="00B750F1">
        <w:rPr>
          <w:rFonts w:cs="Arial"/>
          <w:sz w:val="18"/>
          <w:szCs w:val="18"/>
        </w:rPr>
        <w:t xml:space="preserve"> für die Mutter und 12*CHF 1</w:t>
      </w:r>
      <w:r>
        <w:rPr>
          <w:rFonts w:cs="Arial"/>
          <w:sz w:val="18"/>
          <w:szCs w:val="18"/>
        </w:rPr>
        <w:t>42</w:t>
      </w:r>
      <w:r w:rsidRPr="00B750F1">
        <w:rPr>
          <w:rFonts w:cs="Arial"/>
          <w:sz w:val="18"/>
          <w:szCs w:val="18"/>
        </w:rPr>
        <w:t>.</w:t>
      </w:r>
      <w:r>
        <w:rPr>
          <w:rFonts w:cs="Arial"/>
          <w:sz w:val="18"/>
          <w:szCs w:val="18"/>
        </w:rPr>
        <w:t>–</w:t>
      </w:r>
      <w:r w:rsidRPr="00B750F1">
        <w:rPr>
          <w:rFonts w:cs="Arial"/>
          <w:sz w:val="18"/>
          <w:szCs w:val="18"/>
        </w:rPr>
        <w:t xml:space="preserve"> für das Kind. Für die Berechnung des massgebenden Jahreseinkommens für die Prämienverbilligung wird vereinfachend die Annahme getroffen, dass als Abzüge gemäss § 9 </w:t>
      </w:r>
      <w:r w:rsidRPr="00824963">
        <w:rPr>
          <w:rFonts w:cs="Arial"/>
          <w:sz w:val="18"/>
          <w:szCs w:val="18"/>
        </w:rPr>
        <w:t>Einführungsgesetz zum Bundesgesetz über die Krankenversicherung</w:t>
      </w:r>
      <w:r>
        <w:rPr>
          <w:rFonts w:cs="Arial"/>
          <w:sz w:val="18"/>
          <w:szCs w:val="18"/>
        </w:rPr>
        <w:t xml:space="preserve"> (</w:t>
      </w:r>
      <w:hyperlink r:id="rId2" w:history="1">
        <w:r w:rsidRPr="00F03619">
          <w:rPr>
            <w:rStyle w:val="Hyperlink"/>
            <w:rFonts w:cs="Arial"/>
            <w:sz w:val="18"/>
            <w:szCs w:val="18"/>
          </w:rPr>
          <w:t>SGS 362</w:t>
        </w:r>
      </w:hyperlink>
      <w:r>
        <w:rPr>
          <w:rFonts w:cs="Arial"/>
          <w:sz w:val="18"/>
          <w:szCs w:val="18"/>
        </w:rPr>
        <w:t>)</w:t>
      </w:r>
      <w:r w:rsidRPr="00B750F1">
        <w:rPr>
          <w:rFonts w:cs="Arial"/>
          <w:sz w:val="18"/>
          <w:szCs w:val="18"/>
        </w:rPr>
        <w:t xml:space="preserve"> lediglich die Pauschalabzüge für </w:t>
      </w:r>
      <w:r>
        <w:rPr>
          <w:rFonts w:cs="Arial"/>
          <w:sz w:val="18"/>
          <w:szCs w:val="18"/>
        </w:rPr>
        <w:t>das Kind (CHF 5'000.–)</w:t>
      </w:r>
      <w:r w:rsidRPr="00B750F1">
        <w:rPr>
          <w:rFonts w:cs="Arial"/>
          <w:sz w:val="18"/>
          <w:szCs w:val="18"/>
        </w:rPr>
        <w:t xml:space="preserve"> zum Tragen kommen. Der Prozentanteil am massgebenden Jahreseinkommen beträgt 7.75 (§ 2 des Dekrets über die Einkommensobergrenzen und den Prozentanteil in der Prämienverbilligung (</w:t>
      </w:r>
      <w:hyperlink r:id="rId3" w:history="1">
        <w:r w:rsidRPr="00F03619">
          <w:rPr>
            <w:rStyle w:val="Hyperlink"/>
            <w:rFonts w:cs="Arial"/>
            <w:sz w:val="18"/>
            <w:szCs w:val="18"/>
          </w:rPr>
          <w:t>SGS 362.1</w:t>
        </w:r>
      </w:hyperlink>
      <w:r w:rsidRPr="00B750F1">
        <w:rPr>
          <w:rFonts w:cs="Arial"/>
          <w:sz w:val="18"/>
          <w:szCs w:val="18"/>
        </w:rPr>
        <w:t>)). 7.75 %</w:t>
      </w:r>
      <w:r>
        <w:rPr>
          <w:rFonts w:cs="Arial"/>
          <w:sz w:val="18"/>
          <w:szCs w:val="18"/>
        </w:rPr>
        <w:t xml:space="preserve"> von CHF 35'000.– sind CHF 2’713</w:t>
      </w:r>
      <w:r w:rsidRPr="00B750F1">
        <w:rPr>
          <w:rFonts w:cs="Arial"/>
          <w:sz w:val="18"/>
          <w:szCs w:val="18"/>
        </w:rPr>
        <w:t>.</w:t>
      </w:r>
      <w:r>
        <w:rPr>
          <w:rFonts w:cs="Arial"/>
          <w:sz w:val="18"/>
          <w:szCs w:val="18"/>
        </w:rPr>
        <w:t>–</w:t>
      </w:r>
      <w:r w:rsidRPr="00B750F1">
        <w:rPr>
          <w:rFonts w:cs="Arial"/>
          <w:sz w:val="18"/>
          <w:szCs w:val="18"/>
        </w:rPr>
        <w:t>. Dies ergibt eine P</w:t>
      </w:r>
      <w:r>
        <w:rPr>
          <w:rFonts w:cs="Arial"/>
          <w:sz w:val="18"/>
          <w:szCs w:val="18"/>
        </w:rPr>
        <w:t>rämienverbilligung von CHF 2’651</w:t>
      </w:r>
      <w:r w:rsidRPr="00B750F1">
        <w:rPr>
          <w:rFonts w:cs="Arial"/>
          <w:sz w:val="18"/>
          <w:szCs w:val="18"/>
        </w:rPr>
        <w:t>.</w:t>
      </w:r>
      <w:r>
        <w:rPr>
          <w:rFonts w:cs="Arial"/>
          <w:sz w:val="18"/>
          <w:szCs w:val="18"/>
        </w:rPr>
        <w:t>–</w:t>
      </w:r>
      <w:r w:rsidRPr="00B750F1">
        <w:rPr>
          <w:rFonts w:cs="Arial"/>
          <w:sz w:val="18"/>
          <w:szCs w:val="18"/>
        </w:rPr>
        <w:t xml:space="preserve"> (=CHF </w:t>
      </w:r>
      <w:r>
        <w:rPr>
          <w:rFonts w:cs="Arial"/>
          <w:sz w:val="18"/>
          <w:szCs w:val="18"/>
        </w:rPr>
        <w:t>5’364</w:t>
      </w:r>
      <w:r w:rsidRPr="00B750F1">
        <w:rPr>
          <w:rFonts w:cs="Arial"/>
          <w:sz w:val="18"/>
          <w:szCs w:val="18"/>
        </w:rPr>
        <w:t>.</w:t>
      </w:r>
      <w:r>
        <w:rPr>
          <w:rFonts w:cs="Arial"/>
          <w:sz w:val="18"/>
          <w:szCs w:val="18"/>
        </w:rPr>
        <w:t>–</w:t>
      </w:r>
      <w:r w:rsidRPr="00B750F1">
        <w:rPr>
          <w:rFonts w:cs="Arial"/>
          <w:sz w:val="18"/>
          <w:szCs w:val="18"/>
        </w:rPr>
        <w:t xml:space="preserve"> - CHF </w:t>
      </w:r>
      <w:r>
        <w:rPr>
          <w:rFonts w:cs="Arial"/>
          <w:sz w:val="18"/>
          <w:szCs w:val="18"/>
        </w:rPr>
        <w:t>2’713</w:t>
      </w:r>
      <w:r w:rsidRPr="00B750F1">
        <w:rPr>
          <w:rFonts w:cs="Arial"/>
          <w:sz w:val="18"/>
          <w:szCs w:val="18"/>
        </w:rPr>
        <w:t>.</w:t>
      </w:r>
      <w:r>
        <w:rPr>
          <w:rFonts w:cs="Arial"/>
          <w:sz w:val="18"/>
          <w:szCs w:val="18"/>
        </w:rPr>
        <w:t>–</w:t>
      </w:r>
      <w:r w:rsidRPr="00B750F1">
        <w:rPr>
          <w:rFonts w:cs="Arial"/>
          <w:sz w:val="18"/>
          <w:szCs w:val="18"/>
        </w:rPr>
        <w:t xml:space="preserve">) und eine </w:t>
      </w:r>
      <w:r w:rsidRPr="00117D40">
        <w:rPr>
          <w:rFonts w:cs="Arial"/>
          <w:sz w:val="18"/>
          <w:szCs w:val="18"/>
        </w:rPr>
        <w:t>effektive</w:t>
      </w:r>
      <w:r w:rsidRPr="00B750F1">
        <w:rPr>
          <w:rFonts w:cs="Arial"/>
          <w:sz w:val="18"/>
          <w:szCs w:val="18"/>
        </w:rPr>
        <w:t xml:space="preserve"> K</w:t>
      </w:r>
      <w:r>
        <w:rPr>
          <w:rFonts w:cs="Arial"/>
          <w:sz w:val="18"/>
          <w:szCs w:val="18"/>
        </w:rPr>
        <w:t>rankenkassenprämie von CHF 5’977</w:t>
      </w:r>
      <w:r w:rsidRPr="00B750F1">
        <w:rPr>
          <w:rFonts w:cs="Arial"/>
          <w:sz w:val="18"/>
          <w:szCs w:val="18"/>
        </w:rPr>
        <w:t>.</w:t>
      </w:r>
      <w:r>
        <w:rPr>
          <w:rFonts w:cs="Arial"/>
          <w:sz w:val="18"/>
          <w:szCs w:val="18"/>
        </w:rPr>
        <w:t>– (= CHF 8’628.- - CHF 2’651)</w:t>
      </w:r>
      <w:r w:rsidRPr="00B750F1">
        <w:rPr>
          <w:rFonts w:cs="Arial"/>
          <w:sz w:val="18"/>
          <w:szCs w:val="18"/>
        </w:rPr>
        <w:t>.</w:t>
      </w:r>
    </w:p>
  </w:footnote>
  <w:footnote w:id="2">
    <w:p w14:paraId="3E0A41FD" w14:textId="5BB09CB8" w:rsidR="005F5B4B" w:rsidRDefault="005F5B4B" w:rsidP="0076368D">
      <w:pPr>
        <w:spacing w:before="40" w:after="60" w:line="240" w:lineRule="exact"/>
      </w:pPr>
      <w:r>
        <w:rPr>
          <w:rStyle w:val="Funotenzeichen"/>
        </w:rPr>
        <w:footnoteRef/>
      </w:r>
      <w:r>
        <w:t xml:space="preserve"> </w:t>
      </w:r>
      <w:r>
        <w:rPr>
          <w:rFonts w:cs="Arial"/>
          <w:sz w:val="18"/>
          <w:szCs w:val="18"/>
        </w:rPr>
        <w:t>Im Jahr 2023 beträgt die Jahresrichtprämie für eine Familie mit zwei Kindern CHF 10'782.– (vgl. § 5 Abs. 1 der Prämienverbilligungsverordnung (</w:t>
      </w:r>
      <w:hyperlink r:id="rId4" w:history="1">
        <w:r w:rsidRPr="00136D9F">
          <w:rPr>
            <w:rStyle w:val="Hyperlink"/>
            <w:rFonts w:cs="Arial"/>
            <w:sz w:val="18"/>
            <w:szCs w:val="18"/>
          </w:rPr>
          <w:t>SGS 362.12</w:t>
        </w:r>
      </w:hyperlink>
      <w:r>
        <w:rPr>
          <w:rFonts w:cs="Arial"/>
          <w:sz w:val="18"/>
          <w:szCs w:val="18"/>
        </w:rPr>
        <w:t xml:space="preserve">)). Das sind je 12*CHF 305.– für die Eltern und je 12*CHF 142.– für die Kinder. </w:t>
      </w:r>
      <w:r w:rsidRPr="001A450E">
        <w:rPr>
          <w:rFonts w:cs="Arial"/>
          <w:sz w:val="18"/>
          <w:szCs w:val="18"/>
        </w:rPr>
        <w:t xml:space="preserve">Für die Berechnung des massgebenden Jahreseinkommens für die Prämienverbilligung wird vereinfachend die Annahme getroffen, dass als Abzüge gemäss § 9 </w:t>
      </w:r>
      <w:r w:rsidRPr="00824963">
        <w:rPr>
          <w:rFonts w:cs="Arial"/>
          <w:sz w:val="18"/>
          <w:szCs w:val="18"/>
        </w:rPr>
        <w:t>Einführungsgesetz zum Bundesgesetz über die Krankenversicherung</w:t>
      </w:r>
      <w:r>
        <w:rPr>
          <w:rFonts w:cs="Arial"/>
          <w:sz w:val="18"/>
          <w:szCs w:val="18"/>
        </w:rPr>
        <w:t xml:space="preserve"> </w:t>
      </w:r>
      <w:r w:rsidRPr="001A450E">
        <w:rPr>
          <w:rFonts w:cs="Arial"/>
          <w:sz w:val="18"/>
          <w:szCs w:val="18"/>
        </w:rPr>
        <w:t xml:space="preserve">lediglich die Pauschalabzüge für die Kinder </w:t>
      </w:r>
      <w:r>
        <w:rPr>
          <w:rFonts w:cs="Arial"/>
          <w:sz w:val="18"/>
          <w:szCs w:val="18"/>
        </w:rPr>
        <w:t xml:space="preserve">(insgesamt CHF 10'000.–) </w:t>
      </w:r>
      <w:r w:rsidRPr="001A450E">
        <w:rPr>
          <w:rFonts w:cs="Arial"/>
          <w:sz w:val="18"/>
          <w:szCs w:val="18"/>
        </w:rPr>
        <w:t>zum Tragen kommen</w:t>
      </w:r>
      <w:r>
        <w:rPr>
          <w:rFonts w:cs="Arial"/>
          <w:sz w:val="18"/>
          <w:szCs w:val="18"/>
        </w:rPr>
        <w:t xml:space="preserve">. Der Prozentanteil am massgebenden Jahreseinkommen beträgt 7.75 (§ 2 des </w:t>
      </w:r>
      <w:r w:rsidRPr="00FE61CA">
        <w:rPr>
          <w:rFonts w:cs="Arial"/>
          <w:sz w:val="18"/>
          <w:szCs w:val="18"/>
        </w:rPr>
        <w:t>Dekret</w:t>
      </w:r>
      <w:r>
        <w:rPr>
          <w:rFonts w:cs="Arial"/>
          <w:sz w:val="18"/>
          <w:szCs w:val="18"/>
        </w:rPr>
        <w:t xml:space="preserve">s </w:t>
      </w:r>
      <w:r w:rsidRPr="00FE61CA">
        <w:rPr>
          <w:rFonts w:cs="Arial"/>
          <w:sz w:val="18"/>
          <w:szCs w:val="18"/>
        </w:rPr>
        <w:t>über die Einkommensobergrenzen und den Prozentanteil in der Prämienverbilligung</w:t>
      </w:r>
      <w:r>
        <w:rPr>
          <w:rFonts w:cs="Arial"/>
          <w:sz w:val="18"/>
          <w:szCs w:val="18"/>
        </w:rPr>
        <w:t xml:space="preserve"> (</w:t>
      </w:r>
      <w:hyperlink r:id="rId5" w:history="1">
        <w:r w:rsidRPr="00136D9F">
          <w:rPr>
            <w:rStyle w:val="Hyperlink"/>
            <w:rFonts w:cs="Arial"/>
            <w:sz w:val="18"/>
            <w:szCs w:val="18"/>
          </w:rPr>
          <w:t>SGS 362.1</w:t>
        </w:r>
      </w:hyperlink>
      <w:r>
        <w:rPr>
          <w:rFonts w:cs="Arial"/>
          <w:sz w:val="18"/>
          <w:szCs w:val="18"/>
        </w:rPr>
        <w:t xml:space="preserve">)). 7.75 % von CHF 50'000.- sind CHF 3’750.-. Dies ergibt eine Prämienverbilligung von CHF 7’032.- (=CHF 10'782.- - CHF 3’750.-) und eine </w:t>
      </w:r>
      <w:r w:rsidRPr="00375012">
        <w:rPr>
          <w:rFonts w:cs="Arial"/>
          <w:sz w:val="18"/>
          <w:szCs w:val="18"/>
        </w:rPr>
        <w:t>effektive</w:t>
      </w:r>
      <w:r>
        <w:rPr>
          <w:rFonts w:cs="Arial"/>
          <w:sz w:val="18"/>
          <w:szCs w:val="18"/>
        </w:rPr>
        <w:t xml:space="preserve"> Krankenkassenprämie von CHF 10’224.- (=CHF 17'256 – CHF 7’032).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3E6" w14:textId="77777777" w:rsidR="005F5B4B" w:rsidRDefault="005F5B4B" w:rsidP="007D4887">
    <w:pPr>
      <w:pStyle w:val="Absender"/>
    </w:pPr>
    <w:r>
      <w:rPr>
        <w:noProof/>
        <w:lang w:eastAsia="de-CH"/>
      </w:rPr>
      <w:drawing>
        <wp:anchor distT="0" distB="0" distL="114300" distR="114300" simplePos="0" relativeHeight="251661312" behindDoc="1" locked="1" layoutInCell="1" allowOverlap="1" wp14:anchorId="515404B9" wp14:editId="1F460D44">
          <wp:simplePos x="0" y="0"/>
          <wp:positionH relativeFrom="rightMargin">
            <wp:posOffset>-3672205</wp:posOffset>
          </wp:positionH>
          <wp:positionV relativeFrom="page">
            <wp:posOffset>252095</wp:posOffset>
          </wp:positionV>
          <wp:extent cx="3960000" cy="864000"/>
          <wp:effectExtent l="0" t="0" r="254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Logo_B_r_rgb.png"/>
                  <pic:cNvPicPr/>
                </pic:nvPicPr>
                <pic:blipFill>
                  <a:blip r:embed="rId1">
                    <a:extLst>
                      <a:ext uri="{28A0092B-C50C-407E-A947-70E740481C1C}">
                        <a14:useLocalDpi xmlns:a14="http://schemas.microsoft.com/office/drawing/2010/main" val="0"/>
                      </a:ext>
                    </a:extLst>
                  </a:blip>
                  <a:stretch>
                    <a:fillRect/>
                  </a:stretch>
                </pic:blipFill>
                <pic:spPr>
                  <a:xfrm>
                    <a:off x="0" y="0"/>
                    <a:ext cx="39600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15AF" w14:textId="77777777" w:rsidR="005F5B4B" w:rsidRDefault="005F5B4B">
    <w:pPr>
      <w:pStyle w:val="Kopfzeile"/>
    </w:pPr>
    <w:r>
      <w:rPr>
        <w:noProof/>
        <w:lang w:eastAsia="de-CH"/>
      </w:rPr>
      <w:drawing>
        <wp:anchor distT="0" distB="0" distL="114300" distR="114300" simplePos="0" relativeHeight="251662336" behindDoc="1" locked="0" layoutInCell="1" allowOverlap="1" wp14:anchorId="5D77BE4C" wp14:editId="55CC4638">
          <wp:simplePos x="0" y="0"/>
          <wp:positionH relativeFrom="rightMargin">
            <wp:posOffset>-3671130</wp:posOffset>
          </wp:positionH>
          <wp:positionV relativeFrom="page">
            <wp:posOffset>250092</wp:posOffset>
          </wp:positionV>
          <wp:extent cx="3959225" cy="862330"/>
          <wp:effectExtent l="0" t="0" r="317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3959225" cy="8623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911"/>
    <w:multiLevelType w:val="multilevel"/>
    <w:tmpl w:val="9C5E4BCE"/>
    <w:styleLink w:val="Listenummeriertalt"/>
    <w:lvl w:ilvl="0">
      <w:start w:val="1"/>
      <w:numFmt w:val="decimal"/>
      <w:lvlText w:val="%1."/>
      <w:lvlJc w:val="left"/>
      <w:pPr>
        <w:ind w:left="992" w:hanging="425"/>
      </w:pPr>
      <w:rPr>
        <w:rFonts w:hint="default"/>
      </w:rPr>
    </w:lvl>
    <w:lvl w:ilvl="1">
      <w:start w:val="1"/>
      <w:numFmt w:val="lowerLetter"/>
      <w:lvlText w:val="%2."/>
      <w:lvlJc w:val="left"/>
      <w:pPr>
        <w:tabs>
          <w:tab w:val="num" w:pos="1418"/>
        </w:tabs>
        <w:ind w:left="1418" w:hanging="426"/>
      </w:pPr>
      <w:rPr>
        <w:rFonts w:hint="default"/>
      </w:rPr>
    </w:lvl>
    <w:lvl w:ilvl="2">
      <w:start w:val="1"/>
      <w:numFmt w:val="lowerRoman"/>
      <w:lvlText w:val="%3."/>
      <w:lvlJc w:val="left"/>
      <w:pPr>
        <w:ind w:left="1843"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666D7"/>
    <w:multiLevelType w:val="multilevel"/>
    <w:tmpl w:val="4A74BD5C"/>
    <w:styleLink w:val="ParlamentsdiensteProtokoll"/>
    <w:lvl w:ilvl="0">
      <w:start w:val="1"/>
      <w:numFmt w:val="decimal"/>
      <w:pStyle w:val="berschrift1"/>
      <w:lvlText w:val="%1."/>
      <w:lvlJc w:val="left"/>
      <w:pPr>
        <w:ind w:left="567" w:hanging="567"/>
      </w:pPr>
      <w:rPr>
        <w:rFonts w:ascii="Arial" w:hAnsi="Arial" w:hint="default"/>
        <w:sz w:val="22"/>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tabs>
          <w:tab w:val="num" w:pos="4973"/>
        </w:tabs>
        <w:ind w:left="4820" w:hanging="567"/>
      </w:pPr>
      <w:rPr>
        <w:rFonts w:hint="default"/>
      </w:rPr>
    </w:lvl>
    <w:lvl w:ilvl="3">
      <w:start w:val="1"/>
      <w:numFmt w:val="decimal"/>
      <w:lvlText w:val="%4."/>
      <w:lvlJc w:val="left"/>
      <w:pPr>
        <w:tabs>
          <w:tab w:val="num" w:pos="1077"/>
        </w:tabs>
        <w:ind w:left="567" w:firstLine="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268"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A9601B"/>
    <w:multiLevelType w:val="hybridMultilevel"/>
    <w:tmpl w:val="D376EC76"/>
    <w:lvl w:ilvl="0" w:tplc="FBFEEC0C">
      <w:start w:val="1"/>
      <w:numFmt w:val="lowerLetter"/>
      <w:lvlText w:val="%1)"/>
      <w:lvlJc w:val="left"/>
      <w:pPr>
        <w:ind w:left="717" w:hanging="360"/>
      </w:pPr>
      <w:rPr>
        <w:rFonts w:hint="default"/>
        <w:color w:val="auto"/>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3" w15:restartNumberingAfterBreak="0">
    <w:nsid w:val="0A772F55"/>
    <w:multiLevelType w:val="hybridMultilevel"/>
    <w:tmpl w:val="A54AB8E8"/>
    <w:lvl w:ilvl="0" w:tplc="086C8556">
      <w:numFmt w:val="bullet"/>
      <w:lvlText w:val="-"/>
      <w:lvlJc w:val="left"/>
      <w:pPr>
        <w:ind w:left="720" w:hanging="360"/>
      </w:pPr>
      <w:rPr>
        <w:rFonts w:ascii="Arial" w:eastAsiaTheme="minorEastAsia"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5D25174"/>
    <w:multiLevelType w:val="multilevel"/>
    <w:tmpl w:val="DCB4AA56"/>
    <w:styleLink w:val="Listeunnummeriertneu"/>
    <w:lvl w:ilvl="0">
      <w:start w:val="1"/>
      <w:numFmt w:val="bullet"/>
      <w:pStyle w:val="Listeunnummeriert"/>
      <w:lvlText w:val="–"/>
      <w:lvlJc w:val="left"/>
      <w:pPr>
        <w:tabs>
          <w:tab w:val="num" w:pos="992"/>
        </w:tabs>
        <w:ind w:left="992" w:hanging="425"/>
      </w:pPr>
      <w:rPr>
        <w:rFonts w:ascii="Arial" w:hAnsi="Arial" w:hint="default"/>
        <w:b w:val="0"/>
        <w:i w:val="0"/>
      </w:rPr>
    </w:lvl>
    <w:lvl w:ilvl="1">
      <w:start w:val="1"/>
      <w:numFmt w:val="bullet"/>
      <w:lvlText w:val="–"/>
      <w:lvlJc w:val="left"/>
      <w:pPr>
        <w:ind w:left="1418" w:hanging="426"/>
      </w:pPr>
      <w:rPr>
        <w:rFonts w:ascii="Arial" w:hAnsi="Arial" w:hint="default"/>
        <w:b w:val="0"/>
        <w:i w:val="0"/>
        <w:sz w:val="22"/>
      </w:rPr>
    </w:lvl>
    <w:lvl w:ilvl="2">
      <w:start w:val="1"/>
      <w:numFmt w:val="bullet"/>
      <w:lvlText w:val="–"/>
      <w:lvlJc w:val="left"/>
      <w:pPr>
        <w:ind w:left="1843" w:hanging="425"/>
      </w:pPr>
      <w:rPr>
        <w:rFonts w:ascii="Arial" w:hAnsi="Arial" w:hint="default"/>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2F30AF"/>
    <w:multiLevelType w:val="hybridMultilevel"/>
    <w:tmpl w:val="DC8220E6"/>
    <w:lvl w:ilvl="0" w:tplc="5B5421B2">
      <w:start w:val="1"/>
      <w:numFmt w:val="decimal"/>
      <w:lvlText w:val="%1"/>
      <w:lvlJc w:val="left"/>
      <w:pPr>
        <w:ind w:left="170" w:hanging="170"/>
      </w:pPr>
      <w:rPr>
        <w:rFonts w:hint="default"/>
        <w:strike w:val="0"/>
        <w:dstrike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90F09E9"/>
    <w:multiLevelType w:val="hybridMultilevel"/>
    <w:tmpl w:val="CF78D5FE"/>
    <w:lvl w:ilvl="0" w:tplc="26887B8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92C6243"/>
    <w:multiLevelType w:val="hybridMultilevel"/>
    <w:tmpl w:val="BFC0D998"/>
    <w:lvl w:ilvl="0" w:tplc="9B8CF528">
      <w:start w:val="54"/>
      <w:numFmt w:val="bullet"/>
      <w:lvlText w:val=""/>
      <w:lvlJc w:val="left"/>
      <w:pPr>
        <w:ind w:left="720" w:hanging="360"/>
      </w:pPr>
      <w:rPr>
        <w:rFonts w:ascii="Wingdings" w:eastAsiaTheme="minorEastAsia" w:hAnsi="Wingdings"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AB43414"/>
    <w:multiLevelType w:val="multilevel"/>
    <w:tmpl w:val="154C82CE"/>
    <w:styleLink w:val="InhaltsverzeichnisNummern"/>
    <w:lvl w:ilvl="0">
      <w:start w:val="1"/>
      <w:numFmt w:val="decimal"/>
      <w:lvlText w:val="%1"/>
      <w:lvlJc w:val="left"/>
      <w:pPr>
        <w:ind w:left="1276" w:hanging="1276"/>
      </w:pPr>
      <w:rPr>
        <w:rFonts w:hint="default"/>
      </w:rPr>
    </w:lvl>
    <w:lvl w:ilvl="1">
      <w:start w:val="1"/>
      <w:numFmt w:val="decimal"/>
      <w:lvlText w:val="%1.%2."/>
      <w:lvlJc w:val="left"/>
      <w:pPr>
        <w:ind w:left="1276" w:hanging="1276"/>
      </w:pPr>
      <w:rPr>
        <w:rFonts w:hint="default"/>
      </w:rPr>
    </w:lvl>
    <w:lvl w:ilvl="2">
      <w:start w:val="1"/>
      <w:numFmt w:val="decimal"/>
      <w:lvlText w:val="%1.%2.%3"/>
      <w:lvlJc w:val="left"/>
      <w:pPr>
        <w:ind w:left="1276" w:hanging="127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627256"/>
    <w:multiLevelType w:val="multilevel"/>
    <w:tmpl w:val="0409001F"/>
    <w:styleLink w:val="AktennotizTraktanden"/>
    <w:lvl w:ilvl="0">
      <w:start w:val="1"/>
      <w:numFmt w:val="decimal"/>
      <w:pStyle w:val="Traktandenlist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460633"/>
    <w:multiLevelType w:val="hybridMultilevel"/>
    <w:tmpl w:val="3A66A734"/>
    <w:lvl w:ilvl="0" w:tplc="1638B876">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28209D9"/>
    <w:multiLevelType w:val="hybridMultilevel"/>
    <w:tmpl w:val="89AAA958"/>
    <w:lvl w:ilvl="0" w:tplc="07E41C80">
      <w:start w:val="1"/>
      <w:numFmt w:val="decimal"/>
      <w:lvlText w:val="%1"/>
      <w:lvlJc w:val="left"/>
      <w:pPr>
        <w:ind w:left="170" w:hanging="170"/>
      </w:pPr>
      <w:rPr>
        <w:rFonts w:hint="default"/>
        <w:b w:val="0"/>
        <w:strike w:val="0"/>
        <w:dstrike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6791ACA"/>
    <w:multiLevelType w:val="hybridMultilevel"/>
    <w:tmpl w:val="DC8220E6"/>
    <w:lvl w:ilvl="0" w:tplc="5B5421B2">
      <w:start w:val="1"/>
      <w:numFmt w:val="decimal"/>
      <w:lvlText w:val="%1"/>
      <w:lvlJc w:val="left"/>
      <w:pPr>
        <w:ind w:left="170" w:hanging="170"/>
      </w:pPr>
      <w:rPr>
        <w:rFonts w:hint="default"/>
        <w:strike w:val="0"/>
        <w:dstrike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28E30C9"/>
    <w:multiLevelType w:val="hybridMultilevel"/>
    <w:tmpl w:val="436AB618"/>
    <w:lvl w:ilvl="0" w:tplc="70389E1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4625522"/>
    <w:multiLevelType w:val="multilevel"/>
    <w:tmpl w:val="4A74BD5C"/>
    <w:numStyleLink w:val="ParlamentsdiensteProtokoll"/>
  </w:abstractNum>
  <w:abstractNum w:abstractNumId="15" w15:restartNumberingAfterBreak="0">
    <w:nsid w:val="391636AE"/>
    <w:multiLevelType w:val="multilevel"/>
    <w:tmpl w:val="6EE48576"/>
    <w:lvl w:ilvl="0">
      <w:start w:val="1"/>
      <w:numFmt w:val="decimal"/>
      <w:pStyle w:val="GesetzesnderungAbsatz"/>
      <w:lvlText w:val="%1"/>
      <w:lvlJc w:val="left"/>
      <w:pPr>
        <w:ind w:left="170" w:hanging="170"/>
      </w:pPr>
      <w:rPr>
        <w:rFonts w:ascii="Arial" w:hAnsi="Arial" w:cs="Times New Roman" w:hint="default"/>
        <w:sz w:val="20"/>
        <w:vertAlign w:val="superscrip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52464"/>
    <w:multiLevelType w:val="hybridMultilevel"/>
    <w:tmpl w:val="7E6C8D2A"/>
    <w:lvl w:ilvl="0" w:tplc="08070001">
      <w:start w:val="1"/>
      <w:numFmt w:val="bullet"/>
      <w:lvlText w:val=""/>
      <w:lvlJc w:val="left"/>
      <w:pPr>
        <w:ind w:left="717" w:hanging="360"/>
      </w:pPr>
      <w:rPr>
        <w:rFonts w:ascii="Symbol" w:hAnsi="Symbol" w:hint="default"/>
        <w:color w:val="auto"/>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7" w15:restartNumberingAfterBreak="0">
    <w:nsid w:val="3BEF017A"/>
    <w:multiLevelType w:val="hybridMultilevel"/>
    <w:tmpl w:val="BE38F738"/>
    <w:lvl w:ilvl="0" w:tplc="5FEC7338">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F5C5C74"/>
    <w:multiLevelType w:val="hybridMultilevel"/>
    <w:tmpl w:val="1DBAC2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2A02BA1"/>
    <w:multiLevelType w:val="hybridMultilevel"/>
    <w:tmpl w:val="2264D520"/>
    <w:lvl w:ilvl="0" w:tplc="5B5421B2">
      <w:start w:val="1"/>
      <w:numFmt w:val="decimal"/>
      <w:lvlText w:val="%1"/>
      <w:lvlJc w:val="left"/>
      <w:pPr>
        <w:ind w:left="170" w:hanging="170"/>
      </w:pPr>
      <w:rPr>
        <w:rFonts w:hint="default"/>
        <w:strike w:val="0"/>
        <w:dstrike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3611B37"/>
    <w:multiLevelType w:val="hybridMultilevel"/>
    <w:tmpl w:val="D7EE88C4"/>
    <w:lvl w:ilvl="0" w:tplc="2F7E4EF0">
      <w:start w:val="1"/>
      <w:numFmt w:val="decimal"/>
      <w:lvlText w:val="§ %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46700156"/>
    <w:multiLevelType w:val="multilevel"/>
    <w:tmpl w:val="3C4CAC2E"/>
    <w:numStyleLink w:val="Unterliste1ai"/>
  </w:abstractNum>
  <w:abstractNum w:abstractNumId="22" w15:restartNumberingAfterBreak="0">
    <w:nsid w:val="4A5567E4"/>
    <w:multiLevelType w:val="multilevel"/>
    <w:tmpl w:val="0409001F"/>
    <w:numStyleLink w:val="AktennotizTraktanden"/>
  </w:abstractNum>
  <w:abstractNum w:abstractNumId="23" w15:restartNumberingAfterBreak="0">
    <w:nsid w:val="4AE90E59"/>
    <w:multiLevelType w:val="hybridMultilevel"/>
    <w:tmpl w:val="2264D520"/>
    <w:lvl w:ilvl="0" w:tplc="5B5421B2">
      <w:start w:val="1"/>
      <w:numFmt w:val="decimal"/>
      <w:lvlText w:val="%1"/>
      <w:lvlJc w:val="left"/>
      <w:pPr>
        <w:ind w:left="170" w:hanging="170"/>
      </w:pPr>
      <w:rPr>
        <w:rFonts w:hint="default"/>
        <w:strike w:val="0"/>
        <w:dstrike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F4F431C"/>
    <w:multiLevelType w:val="multilevel"/>
    <w:tmpl w:val="2BA0E2F6"/>
    <w:lvl w:ilvl="0">
      <w:start w:val="1"/>
      <w:numFmt w:val="decimal"/>
      <w:lvlText w:val="%1."/>
      <w:lvlJc w:val="left"/>
      <w:pPr>
        <w:ind w:left="1647" w:hanging="567"/>
      </w:pPr>
      <w:rPr>
        <w:rFonts w:ascii="Arial" w:hAnsi="Arial" w:hint="default"/>
      </w:rPr>
    </w:lvl>
    <w:lvl w:ilvl="1">
      <w:start w:val="1"/>
      <w:numFmt w:val="decimal"/>
      <w:lvlText w:val="%1.%2."/>
      <w:lvlJc w:val="left"/>
      <w:pPr>
        <w:ind w:left="1647" w:hanging="567"/>
      </w:pPr>
      <w:rPr>
        <w:rFonts w:hint="default"/>
      </w:rPr>
    </w:lvl>
    <w:lvl w:ilvl="2">
      <w:start w:val="1"/>
      <w:numFmt w:val="none"/>
      <w:lvlText w:val="–"/>
      <w:lvlJc w:val="left"/>
      <w:pPr>
        <w:tabs>
          <w:tab w:val="num" w:pos="1800"/>
        </w:tabs>
        <w:ind w:left="1647" w:hanging="567"/>
      </w:pPr>
      <w:rPr>
        <w:rFonts w:hint="default"/>
      </w:rPr>
    </w:lvl>
    <w:lvl w:ilvl="3">
      <w:start w:val="1"/>
      <w:numFmt w:val="decimal"/>
      <w:pStyle w:val="berschrift4"/>
      <w:lvlText w:val="%4."/>
      <w:lvlJc w:val="left"/>
      <w:pPr>
        <w:tabs>
          <w:tab w:val="num" w:pos="2157"/>
        </w:tabs>
        <w:ind w:left="1134" w:hanging="567"/>
      </w:pPr>
      <w:rPr>
        <w:rFonts w:hint="default"/>
      </w:rPr>
    </w:lvl>
    <w:lvl w:ilvl="4">
      <w:start w:val="1"/>
      <w:numFmt w:val="lowerLetter"/>
      <w:pStyle w:val="berschrift5"/>
      <w:lvlText w:val="%5."/>
      <w:lvlJc w:val="left"/>
      <w:pPr>
        <w:ind w:left="1701" w:hanging="567"/>
      </w:pPr>
      <w:rPr>
        <w:rFonts w:hint="default"/>
      </w:rPr>
    </w:lvl>
    <w:lvl w:ilvl="5">
      <w:start w:val="1"/>
      <w:numFmt w:val="lowerRoman"/>
      <w:pStyle w:val="berschrift6"/>
      <w:lvlText w:val="%6."/>
      <w:lvlJc w:val="left"/>
      <w:pPr>
        <w:ind w:left="2268" w:hanging="567"/>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5" w15:restartNumberingAfterBreak="0">
    <w:nsid w:val="4FFC3840"/>
    <w:multiLevelType w:val="hybridMultilevel"/>
    <w:tmpl w:val="3A8EB8C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4632BF4"/>
    <w:multiLevelType w:val="hybridMultilevel"/>
    <w:tmpl w:val="2C10A6E0"/>
    <w:lvl w:ilvl="0" w:tplc="0A9A032C">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828396E"/>
    <w:multiLevelType w:val="multilevel"/>
    <w:tmpl w:val="3C4CAC2E"/>
    <w:styleLink w:val="Unterliste1ai"/>
    <w:lvl w:ilvl="0">
      <w:start w:val="1"/>
      <w:numFmt w:val="decimal"/>
      <w:pStyle w:val="Liste1ai"/>
      <w:lvlText w:val="%1."/>
      <w:lvlJc w:val="left"/>
      <w:pPr>
        <w:tabs>
          <w:tab w:val="num" w:pos="425"/>
        </w:tabs>
        <w:ind w:left="851" w:hanging="426"/>
      </w:pPr>
      <w:rPr>
        <w:rFonts w:hint="default"/>
      </w:rPr>
    </w:lvl>
    <w:lvl w:ilvl="1">
      <w:start w:val="1"/>
      <w:numFmt w:val="lowerLetter"/>
      <w:lvlText w:val="%2."/>
      <w:lvlJc w:val="left"/>
      <w:pPr>
        <w:tabs>
          <w:tab w:val="num" w:pos="8505"/>
        </w:tabs>
        <w:ind w:left="1276" w:hanging="425"/>
      </w:pPr>
      <w:rPr>
        <w:rFonts w:hint="default"/>
      </w:rPr>
    </w:lvl>
    <w:lvl w:ilvl="2">
      <w:start w:val="1"/>
      <w:numFmt w:val="lowerRoman"/>
      <w:lvlText w:val="%3."/>
      <w:lvlJc w:val="left"/>
      <w:pPr>
        <w:tabs>
          <w:tab w:val="num" w:pos="1418"/>
        </w:tabs>
        <w:ind w:left="1701" w:hanging="425"/>
      </w:pPr>
      <w:rPr>
        <w:rFonts w:hint="default"/>
      </w:rPr>
    </w:lvl>
    <w:lvl w:ilvl="3">
      <w:start w:val="1"/>
      <w:numFmt w:val="decimal"/>
      <w:lvlText w:val="(%4)"/>
      <w:lvlJc w:val="left"/>
      <w:pPr>
        <w:ind w:left="2126" w:hanging="425"/>
      </w:pPr>
      <w:rPr>
        <w:rFonts w:hint="default"/>
      </w:rPr>
    </w:lvl>
    <w:lvl w:ilvl="4">
      <w:start w:val="1"/>
      <w:numFmt w:val="lowerLetter"/>
      <w:lvlText w:val="(%5)"/>
      <w:lvlJc w:val="left"/>
      <w:pPr>
        <w:ind w:left="1375" w:hanging="360"/>
      </w:pPr>
      <w:rPr>
        <w:rFonts w:hint="default"/>
      </w:rPr>
    </w:lvl>
    <w:lvl w:ilvl="5">
      <w:start w:val="1"/>
      <w:numFmt w:val="lowerRoman"/>
      <w:lvlText w:val="(%6)"/>
      <w:lvlJc w:val="left"/>
      <w:pPr>
        <w:ind w:left="1735" w:hanging="360"/>
      </w:pPr>
      <w:rPr>
        <w:rFonts w:hint="default"/>
      </w:rPr>
    </w:lvl>
    <w:lvl w:ilvl="6">
      <w:start w:val="1"/>
      <w:numFmt w:val="decimal"/>
      <w:lvlText w:val="%7."/>
      <w:lvlJc w:val="left"/>
      <w:pPr>
        <w:ind w:left="2095" w:hanging="360"/>
      </w:pPr>
      <w:rPr>
        <w:rFonts w:hint="default"/>
      </w:rPr>
    </w:lvl>
    <w:lvl w:ilvl="7">
      <w:start w:val="1"/>
      <w:numFmt w:val="lowerLetter"/>
      <w:lvlText w:val="%8."/>
      <w:lvlJc w:val="left"/>
      <w:pPr>
        <w:ind w:left="2455" w:hanging="360"/>
      </w:pPr>
      <w:rPr>
        <w:rFonts w:hint="default"/>
      </w:rPr>
    </w:lvl>
    <w:lvl w:ilvl="8">
      <w:start w:val="1"/>
      <w:numFmt w:val="lowerRoman"/>
      <w:lvlText w:val="%9."/>
      <w:lvlJc w:val="left"/>
      <w:pPr>
        <w:ind w:left="2815" w:hanging="360"/>
      </w:pPr>
      <w:rPr>
        <w:rFonts w:hint="default"/>
      </w:rPr>
    </w:lvl>
  </w:abstractNum>
  <w:abstractNum w:abstractNumId="28" w15:restartNumberingAfterBreak="0">
    <w:nsid w:val="5A856967"/>
    <w:multiLevelType w:val="hybridMultilevel"/>
    <w:tmpl w:val="9B50E57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29A0B5D"/>
    <w:multiLevelType w:val="hybridMultilevel"/>
    <w:tmpl w:val="A1C0AE2E"/>
    <w:lvl w:ilvl="0" w:tplc="8FBCC636">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29B18D9"/>
    <w:multiLevelType w:val="hybridMultilevel"/>
    <w:tmpl w:val="2264D520"/>
    <w:lvl w:ilvl="0" w:tplc="5B5421B2">
      <w:start w:val="1"/>
      <w:numFmt w:val="decimal"/>
      <w:lvlText w:val="%1"/>
      <w:lvlJc w:val="left"/>
      <w:pPr>
        <w:ind w:left="170" w:hanging="170"/>
      </w:pPr>
      <w:rPr>
        <w:rFonts w:hint="default"/>
        <w:strike w:val="0"/>
        <w:dstrike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5095198"/>
    <w:multiLevelType w:val="hybridMultilevel"/>
    <w:tmpl w:val="CC9AB0DA"/>
    <w:lvl w:ilvl="0" w:tplc="1CEE1F1C">
      <w:start w:val="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7C71D0E"/>
    <w:multiLevelType w:val="hybridMultilevel"/>
    <w:tmpl w:val="2264D520"/>
    <w:lvl w:ilvl="0" w:tplc="5B5421B2">
      <w:start w:val="1"/>
      <w:numFmt w:val="decimal"/>
      <w:lvlText w:val="%1"/>
      <w:lvlJc w:val="left"/>
      <w:pPr>
        <w:ind w:left="170" w:hanging="170"/>
      </w:pPr>
      <w:rPr>
        <w:rFonts w:hint="default"/>
        <w:strike w:val="0"/>
        <w:dstrike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E1E55F2"/>
    <w:multiLevelType w:val="hybridMultilevel"/>
    <w:tmpl w:val="DC8220E6"/>
    <w:lvl w:ilvl="0" w:tplc="5B5421B2">
      <w:start w:val="1"/>
      <w:numFmt w:val="decimal"/>
      <w:lvlText w:val="%1"/>
      <w:lvlJc w:val="left"/>
      <w:pPr>
        <w:ind w:left="170" w:hanging="170"/>
      </w:pPr>
      <w:rPr>
        <w:rFonts w:hint="default"/>
        <w:strike w:val="0"/>
        <w:dstrike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FCF2229"/>
    <w:multiLevelType w:val="hybridMultilevel"/>
    <w:tmpl w:val="6C0A1E5A"/>
    <w:lvl w:ilvl="0" w:tplc="A0CC354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0414E5C"/>
    <w:multiLevelType w:val="hybridMultilevel"/>
    <w:tmpl w:val="CF0C8FD8"/>
    <w:lvl w:ilvl="0" w:tplc="E4ECB27A">
      <w:start w:val="1"/>
      <w:numFmt w:val="lowerLetter"/>
      <w:lvlText w:val="%1)"/>
      <w:lvlJc w:val="left"/>
      <w:pPr>
        <w:ind w:left="360" w:hanging="360"/>
      </w:pPr>
      <w:rPr>
        <w:rFonts w:ascii="Arial" w:eastAsiaTheme="minorHAnsi" w:hAnsi="Arial" w:cstheme="minorBidi"/>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6" w15:restartNumberingAfterBreak="0">
    <w:nsid w:val="712E5232"/>
    <w:multiLevelType w:val="hybridMultilevel"/>
    <w:tmpl w:val="67B4D722"/>
    <w:lvl w:ilvl="0" w:tplc="16645500">
      <w:start w:val="1"/>
      <w:numFmt w:val="bullet"/>
      <w:pStyle w:val="Beilagen"/>
      <w:lvlText w:val="–"/>
      <w:lvlJc w:val="left"/>
      <w:pPr>
        <w:ind w:left="567" w:hanging="567"/>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142DF3"/>
    <w:multiLevelType w:val="hybridMultilevel"/>
    <w:tmpl w:val="B9C2E0CE"/>
    <w:lvl w:ilvl="0" w:tplc="F434224C">
      <w:start w:val="1"/>
      <w:numFmt w:val="decimal"/>
      <w:pStyle w:val="Listenummeriert"/>
      <w:lvlText w:val="%1."/>
      <w:lvlJc w:val="left"/>
      <w:pPr>
        <w:ind w:left="1276"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B53F6"/>
    <w:multiLevelType w:val="hybridMultilevel"/>
    <w:tmpl w:val="CEAAE110"/>
    <w:lvl w:ilvl="0" w:tplc="CFE2AE8C">
      <w:start w:val="54"/>
      <w:numFmt w:val="bullet"/>
      <w:lvlText w:val="-"/>
      <w:lvlJc w:val="left"/>
      <w:pPr>
        <w:ind w:left="720" w:hanging="360"/>
      </w:pPr>
      <w:rPr>
        <w:rFonts w:ascii="Arial" w:eastAsiaTheme="minorEastAsia"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95C1F7F"/>
    <w:multiLevelType w:val="hybridMultilevel"/>
    <w:tmpl w:val="7D549104"/>
    <w:lvl w:ilvl="0" w:tplc="6674D51E">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B554507"/>
    <w:multiLevelType w:val="hybridMultilevel"/>
    <w:tmpl w:val="DC8220E6"/>
    <w:lvl w:ilvl="0" w:tplc="5B5421B2">
      <w:start w:val="1"/>
      <w:numFmt w:val="decimal"/>
      <w:lvlText w:val="%1"/>
      <w:lvlJc w:val="left"/>
      <w:pPr>
        <w:ind w:left="170" w:hanging="170"/>
      </w:pPr>
      <w:rPr>
        <w:rFonts w:hint="default"/>
        <w:strike w:val="0"/>
        <w:dstrike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B5B2AAE"/>
    <w:multiLevelType w:val="hybridMultilevel"/>
    <w:tmpl w:val="2264D520"/>
    <w:lvl w:ilvl="0" w:tplc="5B5421B2">
      <w:start w:val="1"/>
      <w:numFmt w:val="decimal"/>
      <w:lvlText w:val="%1"/>
      <w:lvlJc w:val="left"/>
      <w:pPr>
        <w:ind w:left="170" w:hanging="170"/>
      </w:pPr>
      <w:rPr>
        <w:rFonts w:hint="default"/>
        <w:strike w:val="0"/>
        <w:dstrike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7D9A6325"/>
    <w:multiLevelType w:val="hybridMultilevel"/>
    <w:tmpl w:val="E9EC8E20"/>
    <w:lvl w:ilvl="0" w:tplc="853CE71E">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F564E29"/>
    <w:multiLevelType w:val="hybridMultilevel"/>
    <w:tmpl w:val="93D60E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847092360">
    <w:abstractNumId w:val="9"/>
  </w:num>
  <w:num w:numId="2" w16cid:durableId="1471440697">
    <w:abstractNumId w:val="36"/>
  </w:num>
  <w:num w:numId="3" w16cid:durableId="11463560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6857645">
    <w:abstractNumId w:val="8"/>
  </w:num>
  <w:num w:numId="5" w16cid:durableId="265190092">
    <w:abstractNumId w:val="37"/>
  </w:num>
  <w:num w:numId="6" w16cid:durableId="109712846">
    <w:abstractNumId w:val="0"/>
  </w:num>
  <w:num w:numId="7" w16cid:durableId="470707656">
    <w:abstractNumId w:val="4"/>
  </w:num>
  <w:num w:numId="8" w16cid:durableId="488063279">
    <w:abstractNumId w:val="1"/>
  </w:num>
  <w:num w:numId="9" w16cid:durableId="1141649363">
    <w:abstractNumId w:val="22"/>
  </w:num>
  <w:num w:numId="10" w16cid:durableId="1101410109">
    <w:abstractNumId w:val="14"/>
    <w:lvlOverride w:ilvl="0">
      <w:lvl w:ilvl="0">
        <w:start w:val="1"/>
        <w:numFmt w:val="decimal"/>
        <w:pStyle w:val="berschrift1"/>
        <w:lvlText w:val="%1."/>
        <w:lvlJc w:val="left"/>
        <w:pPr>
          <w:ind w:left="567" w:hanging="567"/>
        </w:pPr>
        <w:rPr>
          <w:rFonts w:ascii="Arial" w:hAnsi="Arial" w:hint="default"/>
          <w:sz w:val="22"/>
        </w:rPr>
      </w:lvl>
    </w:lvlOverride>
    <w:lvlOverride w:ilvl="1">
      <w:lvl w:ilvl="1">
        <w:start w:val="1"/>
        <w:numFmt w:val="decimal"/>
        <w:pStyle w:val="berschrift2"/>
        <w:lvlText w:val="%1.%2."/>
        <w:lvlJc w:val="left"/>
        <w:pPr>
          <w:ind w:left="2694" w:hanging="567"/>
        </w:pPr>
        <w:rPr>
          <w:rFonts w:hint="default"/>
        </w:rPr>
      </w:lvl>
    </w:lvlOverride>
    <w:lvlOverride w:ilvl="2">
      <w:lvl w:ilvl="2">
        <w:start w:val="1"/>
        <w:numFmt w:val="decimal"/>
        <w:pStyle w:val="berschrift3"/>
        <w:lvlText w:val="%1.%2.%3."/>
        <w:lvlJc w:val="left"/>
        <w:pPr>
          <w:tabs>
            <w:tab w:val="num" w:pos="5257"/>
          </w:tabs>
          <w:ind w:left="5104"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16cid:durableId="1531649167">
    <w:abstractNumId w:val="24"/>
  </w:num>
  <w:num w:numId="12" w16cid:durableId="556093809">
    <w:abstractNumId w:val="3"/>
  </w:num>
  <w:num w:numId="13" w16cid:durableId="1480270349">
    <w:abstractNumId w:val="35"/>
  </w:num>
  <w:num w:numId="14" w16cid:durableId="1917665494">
    <w:abstractNumId w:val="28"/>
  </w:num>
  <w:num w:numId="15" w16cid:durableId="1485274096">
    <w:abstractNumId w:val="11"/>
  </w:num>
  <w:num w:numId="16" w16cid:durableId="215363025">
    <w:abstractNumId w:val="41"/>
  </w:num>
  <w:num w:numId="17" w16cid:durableId="1025865009">
    <w:abstractNumId w:val="2"/>
  </w:num>
  <w:num w:numId="18" w16cid:durableId="2050295541">
    <w:abstractNumId w:val="30"/>
  </w:num>
  <w:num w:numId="19" w16cid:durableId="1638531790">
    <w:abstractNumId w:val="12"/>
  </w:num>
  <w:num w:numId="20" w16cid:durableId="1121218133">
    <w:abstractNumId w:val="5"/>
  </w:num>
  <w:num w:numId="21" w16cid:durableId="210265959">
    <w:abstractNumId w:val="33"/>
  </w:num>
  <w:num w:numId="22" w16cid:durableId="1308825132">
    <w:abstractNumId w:val="40"/>
  </w:num>
  <w:num w:numId="23" w16cid:durableId="1221676380">
    <w:abstractNumId w:val="6"/>
  </w:num>
  <w:num w:numId="24" w16cid:durableId="872890086">
    <w:abstractNumId w:val="29"/>
  </w:num>
  <w:num w:numId="25" w16cid:durableId="2104836445">
    <w:abstractNumId w:val="25"/>
  </w:num>
  <w:num w:numId="26" w16cid:durableId="1057822907">
    <w:abstractNumId w:val="16"/>
  </w:num>
  <w:num w:numId="27" w16cid:durableId="279805271">
    <w:abstractNumId w:val="18"/>
  </w:num>
  <w:num w:numId="28" w16cid:durableId="1363171095">
    <w:abstractNumId w:val="43"/>
  </w:num>
  <w:num w:numId="29" w16cid:durableId="1475489263">
    <w:abstractNumId w:val="13"/>
  </w:num>
  <w:num w:numId="30" w16cid:durableId="151873682">
    <w:abstractNumId w:val="34"/>
  </w:num>
  <w:num w:numId="31" w16cid:durableId="1572304635">
    <w:abstractNumId w:val="19"/>
  </w:num>
  <w:num w:numId="32" w16cid:durableId="589777367">
    <w:abstractNumId w:val="32"/>
  </w:num>
  <w:num w:numId="33" w16cid:durableId="953101313">
    <w:abstractNumId w:val="23"/>
  </w:num>
  <w:num w:numId="34" w16cid:durableId="1606958996">
    <w:abstractNumId w:val="20"/>
  </w:num>
  <w:num w:numId="35" w16cid:durableId="923414070">
    <w:abstractNumId w:val="31"/>
  </w:num>
  <w:num w:numId="36" w16cid:durableId="1875969870">
    <w:abstractNumId w:val="27"/>
  </w:num>
  <w:num w:numId="37" w16cid:durableId="76560682">
    <w:abstractNumId w:val="21"/>
  </w:num>
  <w:num w:numId="38" w16cid:durableId="442502917">
    <w:abstractNumId w:val="38"/>
  </w:num>
  <w:num w:numId="39" w16cid:durableId="1821648804">
    <w:abstractNumId w:val="7"/>
  </w:num>
  <w:num w:numId="40" w16cid:durableId="1138959112">
    <w:abstractNumId w:val="39"/>
  </w:num>
  <w:num w:numId="41" w16cid:durableId="2029062156">
    <w:abstractNumId w:val="14"/>
    <w:lvlOverride w:ilvl="0">
      <w:lvl w:ilvl="0">
        <w:start w:val="1"/>
        <w:numFmt w:val="decimal"/>
        <w:pStyle w:val="berschrift1"/>
        <w:lvlText w:val="%1."/>
        <w:lvlJc w:val="left"/>
        <w:pPr>
          <w:ind w:left="567" w:hanging="567"/>
        </w:pPr>
        <w:rPr>
          <w:rFonts w:ascii="Arial" w:hAnsi="Arial" w:hint="default"/>
          <w:sz w:val="22"/>
        </w:rPr>
      </w:lvl>
    </w:lvlOverride>
    <w:lvlOverride w:ilvl="1">
      <w:lvl w:ilvl="1">
        <w:start w:val="1"/>
        <w:numFmt w:val="decimal"/>
        <w:pStyle w:val="berschrift2"/>
        <w:lvlText w:val="%1.%2."/>
        <w:lvlJc w:val="left"/>
        <w:pPr>
          <w:ind w:left="2694" w:hanging="567"/>
        </w:pPr>
        <w:rPr>
          <w:rFonts w:hint="default"/>
        </w:rPr>
      </w:lvl>
    </w:lvlOverride>
    <w:lvlOverride w:ilvl="2">
      <w:lvl w:ilvl="2">
        <w:start w:val="1"/>
        <w:numFmt w:val="decimal"/>
        <w:pStyle w:val="berschrift3"/>
        <w:lvlText w:val="%1.%2.%3."/>
        <w:lvlJc w:val="left"/>
        <w:pPr>
          <w:tabs>
            <w:tab w:val="num" w:pos="4973"/>
          </w:tabs>
          <w:ind w:left="4820" w:hanging="567"/>
        </w:pPr>
        <w:rPr>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16cid:durableId="30081821">
    <w:abstractNumId w:val="17"/>
  </w:num>
  <w:num w:numId="43" w16cid:durableId="53044338">
    <w:abstractNumId w:val="26"/>
  </w:num>
  <w:num w:numId="44" w16cid:durableId="1833332778">
    <w:abstractNumId w:val="42"/>
  </w:num>
  <w:num w:numId="45" w16cid:durableId="1924757666">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hyphenationZone w:val="425"/>
  <w:characterSpacingControl w:val="doNotCompress"/>
  <w:hdrShapeDefaults>
    <o:shapedefaults v:ext="edit" spidmax="149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A48"/>
    <w:rsid w:val="00002704"/>
    <w:rsid w:val="00005981"/>
    <w:rsid w:val="00007047"/>
    <w:rsid w:val="00016402"/>
    <w:rsid w:val="00020E7A"/>
    <w:rsid w:val="000341E3"/>
    <w:rsid w:val="000372E3"/>
    <w:rsid w:val="00037F83"/>
    <w:rsid w:val="0005403C"/>
    <w:rsid w:val="000608D5"/>
    <w:rsid w:val="00063537"/>
    <w:rsid w:val="00070DF5"/>
    <w:rsid w:val="00070E61"/>
    <w:rsid w:val="00071201"/>
    <w:rsid w:val="00073298"/>
    <w:rsid w:val="0007798A"/>
    <w:rsid w:val="0008296E"/>
    <w:rsid w:val="0008406C"/>
    <w:rsid w:val="00085D16"/>
    <w:rsid w:val="000A7BE5"/>
    <w:rsid w:val="000B5D98"/>
    <w:rsid w:val="000C4C7E"/>
    <w:rsid w:val="000C74E2"/>
    <w:rsid w:val="000E0A53"/>
    <w:rsid w:val="000E1D35"/>
    <w:rsid w:val="000E70A2"/>
    <w:rsid w:val="000F7EA0"/>
    <w:rsid w:val="0010061A"/>
    <w:rsid w:val="00100ACB"/>
    <w:rsid w:val="00114E3A"/>
    <w:rsid w:val="00115DFF"/>
    <w:rsid w:val="001166FC"/>
    <w:rsid w:val="00117D40"/>
    <w:rsid w:val="0012248B"/>
    <w:rsid w:val="00122E08"/>
    <w:rsid w:val="0012420F"/>
    <w:rsid w:val="00124DB9"/>
    <w:rsid w:val="00137FA8"/>
    <w:rsid w:val="00137FD2"/>
    <w:rsid w:val="001410F0"/>
    <w:rsid w:val="001506A8"/>
    <w:rsid w:val="00151324"/>
    <w:rsid w:val="00153DEE"/>
    <w:rsid w:val="001552CB"/>
    <w:rsid w:val="00164819"/>
    <w:rsid w:val="001671FA"/>
    <w:rsid w:val="001677AF"/>
    <w:rsid w:val="0017200C"/>
    <w:rsid w:val="00172922"/>
    <w:rsid w:val="00174E06"/>
    <w:rsid w:val="001838A5"/>
    <w:rsid w:val="00186133"/>
    <w:rsid w:val="00192DE9"/>
    <w:rsid w:val="0019331A"/>
    <w:rsid w:val="001A2228"/>
    <w:rsid w:val="001A4971"/>
    <w:rsid w:val="001B097C"/>
    <w:rsid w:val="001C10BC"/>
    <w:rsid w:val="001C429D"/>
    <w:rsid w:val="001D73C6"/>
    <w:rsid w:val="001E0726"/>
    <w:rsid w:val="001F2A79"/>
    <w:rsid w:val="002035CF"/>
    <w:rsid w:val="00204E05"/>
    <w:rsid w:val="0020546E"/>
    <w:rsid w:val="0021003D"/>
    <w:rsid w:val="00210322"/>
    <w:rsid w:val="00211C50"/>
    <w:rsid w:val="0021474E"/>
    <w:rsid w:val="002170BE"/>
    <w:rsid w:val="00223170"/>
    <w:rsid w:val="002242C4"/>
    <w:rsid w:val="002255F5"/>
    <w:rsid w:val="0023720F"/>
    <w:rsid w:val="00240FA0"/>
    <w:rsid w:val="002502BB"/>
    <w:rsid w:val="00253672"/>
    <w:rsid w:val="00253911"/>
    <w:rsid w:val="00264FFA"/>
    <w:rsid w:val="002658D5"/>
    <w:rsid w:val="00272CD1"/>
    <w:rsid w:val="00273A26"/>
    <w:rsid w:val="00280A30"/>
    <w:rsid w:val="00281AF7"/>
    <w:rsid w:val="00283314"/>
    <w:rsid w:val="002835BF"/>
    <w:rsid w:val="0028411D"/>
    <w:rsid w:val="00284D96"/>
    <w:rsid w:val="00291D1A"/>
    <w:rsid w:val="002943D2"/>
    <w:rsid w:val="002977EE"/>
    <w:rsid w:val="002A053E"/>
    <w:rsid w:val="002A0570"/>
    <w:rsid w:val="002A358B"/>
    <w:rsid w:val="002A3848"/>
    <w:rsid w:val="002B59FA"/>
    <w:rsid w:val="002B5FE7"/>
    <w:rsid w:val="002B7ABB"/>
    <w:rsid w:val="002C10E4"/>
    <w:rsid w:val="002C301E"/>
    <w:rsid w:val="002C5516"/>
    <w:rsid w:val="002D006E"/>
    <w:rsid w:val="002D5C33"/>
    <w:rsid w:val="002D6293"/>
    <w:rsid w:val="002D7A2A"/>
    <w:rsid w:val="002E2049"/>
    <w:rsid w:val="002E3A0F"/>
    <w:rsid w:val="002E5195"/>
    <w:rsid w:val="002F6BEF"/>
    <w:rsid w:val="003058D2"/>
    <w:rsid w:val="00311B67"/>
    <w:rsid w:val="003135EB"/>
    <w:rsid w:val="00324D6B"/>
    <w:rsid w:val="00333B8F"/>
    <w:rsid w:val="0033706F"/>
    <w:rsid w:val="003378C3"/>
    <w:rsid w:val="0034426F"/>
    <w:rsid w:val="003476E6"/>
    <w:rsid w:val="003506BC"/>
    <w:rsid w:val="00352179"/>
    <w:rsid w:val="0035598B"/>
    <w:rsid w:val="003577EA"/>
    <w:rsid w:val="00367C52"/>
    <w:rsid w:val="00373EAD"/>
    <w:rsid w:val="00375012"/>
    <w:rsid w:val="0038018E"/>
    <w:rsid w:val="00381187"/>
    <w:rsid w:val="003814C8"/>
    <w:rsid w:val="00385BC5"/>
    <w:rsid w:val="00387A2E"/>
    <w:rsid w:val="003927D8"/>
    <w:rsid w:val="003A769C"/>
    <w:rsid w:val="003B255B"/>
    <w:rsid w:val="003C10D1"/>
    <w:rsid w:val="003C522D"/>
    <w:rsid w:val="003D0C39"/>
    <w:rsid w:val="003D1A31"/>
    <w:rsid w:val="003D1E4B"/>
    <w:rsid w:val="003D2971"/>
    <w:rsid w:val="003D2E47"/>
    <w:rsid w:val="003D66E6"/>
    <w:rsid w:val="003E2B6D"/>
    <w:rsid w:val="003E4858"/>
    <w:rsid w:val="003F52D8"/>
    <w:rsid w:val="003F6BAD"/>
    <w:rsid w:val="0040575D"/>
    <w:rsid w:val="00412D02"/>
    <w:rsid w:val="0041353E"/>
    <w:rsid w:val="00415FF8"/>
    <w:rsid w:val="00433E5C"/>
    <w:rsid w:val="00455F28"/>
    <w:rsid w:val="00456403"/>
    <w:rsid w:val="004570B0"/>
    <w:rsid w:val="0046044E"/>
    <w:rsid w:val="00461F3D"/>
    <w:rsid w:val="00462574"/>
    <w:rsid w:val="0046361C"/>
    <w:rsid w:val="0048646F"/>
    <w:rsid w:val="00486648"/>
    <w:rsid w:val="00492C79"/>
    <w:rsid w:val="00494B5E"/>
    <w:rsid w:val="0049519B"/>
    <w:rsid w:val="0049536B"/>
    <w:rsid w:val="00495CFE"/>
    <w:rsid w:val="004A03D0"/>
    <w:rsid w:val="004A24A8"/>
    <w:rsid w:val="004B0AF3"/>
    <w:rsid w:val="004B40B3"/>
    <w:rsid w:val="004B5B07"/>
    <w:rsid w:val="004C0207"/>
    <w:rsid w:val="004C62F0"/>
    <w:rsid w:val="004D2BCE"/>
    <w:rsid w:val="004D65C9"/>
    <w:rsid w:val="004E2716"/>
    <w:rsid w:val="004E2A6E"/>
    <w:rsid w:val="004E3538"/>
    <w:rsid w:val="004E7F77"/>
    <w:rsid w:val="005037D5"/>
    <w:rsid w:val="00510CED"/>
    <w:rsid w:val="005149FE"/>
    <w:rsid w:val="00517AE3"/>
    <w:rsid w:val="00523CD5"/>
    <w:rsid w:val="0053270A"/>
    <w:rsid w:val="00552CF8"/>
    <w:rsid w:val="00565E95"/>
    <w:rsid w:val="005828EB"/>
    <w:rsid w:val="00582E70"/>
    <w:rsid w:val="00583F63"/>
    <w:rsid w:val="00584CB5"/>
    <w:rsid w:val="005851DB"/>
    <w:rsid w:val="00585B99"/>
    <w:rsid w:val="00585EC2"/>
    <w:rsid w:val="00586B90"/>
    <w:rsid w:val="00590F09"/>
    <w:rsid w:val="00592389"/>
    <w:rsid w:val="00594EEF"/>
    <w:rsid w:val="005967DB"/>
    <w:rsid w:val="00597F55"/>
    <w:rsid w:val="005A0A7C"/>
    <w:rsid w:val="005A33E3"/>
    <w:rsid w:val="005A46F6"/>
    <w:rsid w:val="005A74B9"/>
    <w:rsid w:val="005B2E21"/>
    <w:rsid w:val="005B2EDC"/>
    <w:rsid w:val="005B57FD"/>
    <w:rsid w:val="005C151A"/>
    <w:rsid w:val="005C29A1"/>
    <w:rsid w:val="005D6255"/>
    <w:rsid w:val="005D6821"/>
    <w:rsid w:val="005E3541"/>
    <w:rsid w:val="005E58D9"/>
    <w:rsid w:val="005F02BE"/>
    <w:rsid w:val="005F3257"/>
    <w:rsid w:val="005F5B4B"/>
    <w:rsid w:val="005F7BFE"/>
    <w:rsid w:val="00612083"/>
    <w:rsid w:val="006156F1"/>
    <w:rsid w:val="006172D4"/>
    <w:rsid w:val="00622660"/>
    <w:rsid w:val="00625BE1"/>
    <w:rsid w:val="0063572F"/>
    <w:rsid w:val="00635C42"/>
    <w:rsid w:val="0064007C"/>
    <w:rsid w:val="0064028D"/>
    <w:rsid w:val="00640974"/>
    <w:rsid w:val="006475B8"/>
    <w:rsid w:val="006508B8"/>
    <w:rsid w:val="00651EBC"/>
    <w:rsid w:val="006524B1"/>
    <w:rsid w:val="006556BC"/>
    <w:rsid w:val="00661310"/>
    <w:rsid w:val="006637E8"/>
    <w:rsid w:val="00663887"/>
    <w:rsid w:val="00664F18"/>
    <w:rsid w:val="00674216"/>
    <w:rsid w:val="006770D0"/>
    <w:rsid w:val="00684E2C"/>
    <w:rsid w:val="00686186"/>
    <w:rsid w:val="0069406D"/>
    <w:rsid w:val="006979A0"/>
    <w:rsid w:val="006979C4"/>
    <w:rsid w:val="006B0573"/>
    <w:rsid w:val="006B0A4F"/>
    <w:rsid w:val="006B0FF5"/>
    <w:rsid w:val="006B187A"/>
    <w:rsid w:val="006B4D14"/>
    <w:rsid w:val="006B6D13"/>
    <w:rsid w:val="006B7CB4"/>
    <w:rsid w:val="006C1AD4"/>
    <w:rsid w:val="006D4B64"/>
    <w:rsid w:val="006D7264"/>
    <w:rsid w:val="006E0C17"/>
    <w:rsid w:val="006E143B"/>
    <w:rsid w:val="006F144A"/>
    <w:rsid w:val="006F59DF"/>
    <w:rsid w:val="006F5B6F"/>
    <w:rsid w:val="006F6F97"/>
    <w:rsid w:val="00700DDC"/>
    <w:rsid w:val="0070137B"/>
    <w:rsid w:val="0070159F"/>
    <w:rsid w:val="00703772"/>
    <w:rsid w:val="00706467"/>
    <w:rsid w:val="007073AE"/>
    <w:rsid w:val="00707E4F"/>
    <w:rsid w:val="00712F1B"/>
    <w:rsid w:val="00723246"/>
    <w:rsid w:val="00740590"/>
    <w:rsid w:val="00741093"/>
    <w:rsid w:val="00745B58"/>
    <w:rsid w:val="00750207"/>
    <w:rsid w:val="00754860"/>
    <w:rsid w:val="007562F7"/>
    <w:rsid w:val="00756576"/>
    <w:rsid w:val="007566AD"/>
    <w:rsid w:val="007602B4"/>
    <w:rsid w:val="0076368D"/>
    <w:rsid w:val="00767046"/>
    <w:rsid w:val="00770243"/>
    <w:rsid w:val="0077739D"/>
    <w:rsid w:val="00783560"/>
    <w:rsid w:val="007858D6"/>
    <w:rsid w:val="00792E4D"/>
    <w:rsid w:val="0079320D"/>
    <w:rsid w:val="0079579B"/>
    <w:rsid w:val="007A4521"/>
    <w:rsid w:val="007C4023"/>
    <w:rsid w:val="007D3211"/>
    <w:rsid w:val="007D3A43"/>
    <w:rsid w:val="007D3F9A"/>
    <w:rsid w:val="007D4887"/>
    <w:rsid w:val="007E707C"/>
    <w:rsid w:val="007F310F"/>
    <w:rsid w:val="007F61B4"/>
    <w:rsid w:val="007F7823"/>
    <w:rsid w:val="008052E9"/>
    <w:rsid w:val="00806328"/>
    <w:rsid w:val="00811C2C"/>
    <w:rsid w:val="00816A12"/>
    <w:rsid w:val="008173AC"/>
    <w:rsid w:val="0082090D"/>
    <w:rsid w:val="00823307"/>
    <w:rsid w:val="00824963"/>
    <w:rsid w:val="0082719D"/>
    <w:rsid w:val="00834719"/>
    <w:rsid w:val="008447EC"/>
    <w:rsid w:val="0085689B"/>
    <w:rsid w:val="00862741"/>
    <w:rsid w:val="0086302E"/>
    <w:rsid w:val="00863F2A"/>
    <w:rsid w:val="00865255"/>
    <w:rsid w:val="00875C75"/>
    <w:rsid w:val="0087795D"/>
    <w:rsid w:val="00880032"/>
    <w:rsid w:val="00881751"/>
    <w:rsid w:val="00883C8A"/>
    <w:rsid w:val="00883F90"/>
    <w:rsid w:val="00886451"/>
    <w:rsid w:val="00887AA2"/>
    <w:rsid w:val="00893EBF"/>
    <w:rsid w:val="00894F75"/>
    <w:rsid w:val="008A012C"/>
    <w:rsid w:val="008A32AF"/>
    <w:rsid w:val="008A46C6"/>
    <w:rsid w:val="008A540A"/>
    <w:rsid w:val="008A592B"/>
    <w:rsid w:val="008B4C51"/>
    <w:rsid w:val="008C198B"/>
    <w:rsid w:val="008C1D00"/>
    <w:rsid w:val="008C3870"/>
    <w:rsid w:val="008C5E64"/>
    <w:rsid w:val="008D103D"/>
    <w:rsid w:val="008D3D74"/>
    <w:rsid w:val="008E1F18"/>
    <w:rsid w:val="008E223F"/>
    <w:rsid w:val="008E488A"/>
    <w:rsid w:val="008E72DB"/>
    <w:rsid w:val="008F1AF9"/>
    <w:rsid w:val="008F2E13"/>
    <w:rsid w:val="00901192"/>
    <w:rsid w:val="0090406E"/>
    <w:rsid w:val="00910255"/>
    <w:rsid w:val="00911ED0"/>
    <w:rsid w:val="00915F65"/>
    <w:rsid w:val="009165AB"/>
    <w:rsid w:val="009166CF"/>
    <w:rsid w:val="00916929"/>
    <w:rsid w:val="00923E46"/>
    <w:rsid w:val="00925B8F"/>
    <w:rsid w:val="009267BE"/>
    <w:rsid w:val="00942A9B"/>
    <w:rsid w:val="009432F3"/>
    <w:rsid w:val="00943F3F"/>
    <w:rsid w:val="00954F79"/>
    <w:rsid w:val="00960A42"/>
    <w:rsid w:val="00972DCB"/>
    <w:rsid w:val="00980096"/>
    <w:rsid w:val="009854F4"/>
    <w:rsid w:val="0098721E"/>
    <w:rsid w:val="009912AE"/>
    <w:rsid w:val="009922E9"/>
    <w:rsid w:val="009A17DF"/>
    <w:rsid w:val="009A50A4"/>
    <w:rsid w:val="009A7E3D"/>
    <w:rsid w:val="009A7F3F"/>
    <w:rsid w:val="009B319B"/>
    <w:rsid w:val="009B3701"/>
    <w:rsid w:val="009B4F49"/>
    <w:rsid w:val="009B6281"/>
    <w:rsid w:val="009C1E75"/>
    <w:rsid w:val="009E1F2F"/>
    <w:rsid w:val="009E33F4"/>
    <w:rsid w:val="009E5A1D"/>
    <w:rsid w:val="009F20BD"/>
    <w:rsid w:val="009F4AF8"/>
    <w:rsid w:val="009F69C8"/>
    <w:rsid w:val="00A008D9"/>
    <w:rsid w:val="00A02AD7"/>
    <w:rsid w:val="00A06C9B"/>
    <w:rsid w:val="00A12361"/>
    <w:rsid w:val="00A20D74"/>
    <w:rsid w:val="00A25316"/>
    <w:rsid w:val="00A46C3A"/>
    <w:rsid w:val="00A50D40"/>
    <w:rsid w:val="00A54E6E"/>
    <w:rsid w:val="00A724BA"/>
    <w:rsid w:val="00A83A82"/>
    <w:rsid w:val="00A93141"/>
    <w:rsid w:val="00A952AC"/>
    <w:rsid w:val="00AA28EC"/>
    <w:rsid w:val="00AA3E56"/>
    <w:rsid w:val="00AA5002"/>
    <w:rsid w:val="00AB1276"/>
    <w:rsid w:val="00AB6DB5"/>
    <w:rsid w:val="00AB7B43"/>
    <w:rsid w:val="00AC4866"/>
    <w:rsid w:val="00AC59CB"/>
    <w:rsid w:val="00AD54F7"/>
    <w:rsid w:val="00AD75BA"/>
    <w:rsid w:val="00AD760A"/>
    <w:rsid w:val="00AE0CBC"/>
    <w:rsid w:val="00AE3315"/>
    <w:rsid w:val="00AE65A6"/>
    <w:rsid w:val="00AE7D5E"/>
    <w:rsid w:val="00AF338D"/>
    <w:rsid w:val="00AF66B2"/>
    <w:rsid w:val="00B00156"/>
    <w:rsid w:val="00B03C85"/>
    <w:rsid w:val="00B04523"/>
    <w:rsid w:val="00B053EC"/>
    <w:rsid w:val="00B079D5"/>
    <w:rsid w:val="00B07D9D"/>
    <w:rsid w:val="00B117E2"/>
    <w:rsid w:val="00B13750"/>
    <w:rsid w:val="00B16FB9"/>
    <w:rsid w:val="00B25F84"/>
    <w:rsid w:val="00B35411"/>
    <w:rsid w:val="00B3724B"/>
    <w:rsid w:val="00B40654"/>
    <w:rsid w:val="00B4173D"/>
    <w:rsid w:val="00B54EB1"/>
    <w:rsid w:val="00B563A3"/>
    <w:rsid w:val="00B57E17"/>
    <w:rsid w:val="00B7724D"/>
    <w:rsid w:val="00B77C7C"/>
    <w:rsid w:val="00B80740"/>
    <w:rsid w:val="00B810E7"/>
    <w:rsid w:val="00B949DF"/>
    <w:rsid w:val="00BA1627"/>
    <w:rsid w:val="00BA4926"/>
    <w:rsid w:val="00BA4ACF"/>
    <w:rsid w:val="00BC2AC9"/>
    <w:rsid w:val="00BC5363"/>
    <w:rsid w:val="00BD14E6"/>
    <w:rsid w:val="00BD24F3"/>
    <w:rsid w:val="00BD5571"/>
    <w:rsid w:val="00BD65A2"/>
    <w:rsid w:val="00BE0BCB"/>
    <w:rsid w:val="00BE2D3C"/>
    <w:rsid w:val="00BF09E7"/>
    <w:rsid w:val="00C12D56"/>
    <w:rsid w:val="00C141BD"/>
    <w:rsid w:val="00C17B35"/>
    <w:rsid w:val="00C27303"/>
    <w:rsid w:val="00C31F09"/>
    <w:rsid w:val="00C3264E"/>
    <w:rsid w:val="00C32DF1"/>
    <w:rsid w:val="00C45D3E"/>
    <w:rsid w:val="00C46A02"/>
    <w:rsid w:val="00C5302D"/>
    <w:rsid w:val="00C61C0F"/>
    <w:rsid w:val="00C64358"/>
    <w:rsid w:val="00C65412"/>
    <w:rsid w:val="00C67415"/>
    <w:rsid w:val="00C67A0C"/>
    <w:rsid w:val="00C67CB5"/>
    <w:rsid w:val="00C80A48"/>
    <w:rsid w:val="00CA1D33"/>
    <w:rsid w:val="00CA5621"/>
    <w:rsid w:val="00CC20CE"/>
    <w:rsid w:val="00CC7A97"/>
    <w:rsid w:val="00CD294D"/>
    <w:rsid w:val="00CD549D"/>
    <w:rsid w:val="00CE0AFC"/>
    <w:rsid w:val="00CE1DA8"/>
    <w:rsid w:val="00CE7C84"/>
    <w:rsid w:val="00CF0792"/>
    <w:rsid w:val="00CF0A3D"/>
    <w:rsid w:val="00CF3110"/>
    <w:rsid w:val="00CF5DD5"/>
    <w:rsid w:val="00D055A4"/>
    <w:rsid w:val="00D11097"/>
    <w:rsid w:val="00D1588A"/>
    <w:rsid w:val="00D245E9"/>
    <w:rsid w:val="00D25687"/>
    <w:rsid w:val="00D313E8"/>
    <w:rsid w:val="00D31B47"/>
    <w:rsid w:val="00D42BD1"/>
    <w:rsid w:val="00D664BA"/>
    <w:rsid w:val="00D75289"/>
    <w:rsid w:val="00D77C5B"/>
    <w:rsid w:val="00D803E5"/>
    <w:rsid w:val="00D8772A"/>
    <w:rsid w:val="00D94C23"/>
    <w:rsid w:val="00D96284"/>
    <w:rsid w:val="00D96736"/>
    <w:rsid w:val="00D97BE7"/>
    <w:rsid w:val="00D97F4D"/>
    <w:rsid w:val="00DA0FA2"/>
    <w:rsid w:val="00DB54D7"/>
    <w:rsid w:val="00DC437F"/>
    <w:rsid w:val="00DD2F3B"/>
    <w:rsid w:val="00DD45DC"/>
    <w:rsid w:val="00DE0B28"/>
    <w:rsid w:val="00DE1D9A"/>
    <w:rsid w:val="00DE2A5D"/>
    <w:rsid w:val="00DE51A4"/>
    <w:rsid w:val="00DF0150"/>
    <w:rsid w:val="00DF08AD"/>
    <w:rsid w:val="00DF43E8"/>
    <w:rsid w:val="00DF773E"/>
    <w:rsid w:val="00E00914"/>
    <w:rsid w:val="00E12775"/>
    <w:rsid w:val="00E13097"/>
    <w:rsid w:val="00E15E82"/>
    <w:rsid w:val="00E2044D"/>
    <w:rsid w:val="00E22917"/>
    <w:rsid w:val="00E237B8"/>
    <w:rsid w:val="00E24320"/>
    <w:rsid w:val="00E3403D"/>
    <w:rsid w:val="00E42BD8"/>
    <w:rsid w:val="00E43BE8"/>
    <w:rsid w:val="00E44618"/>
    <w:rsid w:val="00E472C2"/>
    <w:rsid w:val="00E51F3D"/>
    <w:rsid w:val="00E560F8"/>
    <w:rsid w:val="00E648C8"/>
    <w:rsid w:val="00E710A4"/>
    <w:rsid w:val="00E812F1"/>
    <w:rsid w:val="00E83249"/>
    <w:rsid w:val="00E846F9"/>
    <w:rsid w:val="00E85D19"/>
    <w:rsid w:val="00E877C2"/>
    <w:rsid w:val="00E87938"/>
    <w:rsid w:val="00EA020E"/>
    <w:rsid w:val="00EA0CAD"/>
    <w:rsid w:val="00EA223F"/>
    <w:rsid w:val="00EA492D"/>
    <w:rsid w:val="00EA5C0C"/>
    <w:rsid w:val="00F03619"/>
    <w:rsid w:val="00F03C10"/>
    <w:rsid w:val="00F105CC"/>
    <w:rsid w:val="00F159C1"/>
    <w:rsid w:val="00F20071"/>
    <w:rsid w:val="00F2156C"/>
    <w:rsid w:val="00F2283D"/>
    <w:rsid w:val="00F311EF"/>
    <w:rsid w:val="00F339A8"/>
    <w:rsid w:val="00F42C94"/>
    <w:rsid w:val="00F46138"/>
    <w:rsid w:val="00F46750"/>
    <w:rsid w:val="00F52619"/>
    <w:rsid w:val="00F55FAE"/>
    <w:rsid w:val="00F604F0"/>
    <w:rsid w:val="00F60631"/>
    <w:rsid w:val="00F65254"/>
    <w:rsid w:val="00F66312"/>
    <w:rsid w:val="00F73888"/>
    <w:rsid w:val="00F74744"/>
    <w:rsid w:val="00F84AC9"/>
    <w:rsid w:val="00F9233E"/>
    <w:rsid w:val="00FA2A4C"/>
    <w:rsid w:val="00FC308B"/>
    <w:rsid w:val="00FC37E4"/>
    <w:rsid w:val="00FD1C27"/>
    <w:rsid w:val="00FD5415"/>
    <w:rsid w:val="00FD5F21"/>
    <w:rsid w:val="00FE2AF7"/>
    <w:rsid w:val="00FE2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9505"/>
    <o:shapelayout v:ext="edit">
      <o:idmap v:ext="edit" data="1"/>
    </o:shapelayout>
  </w:shapeDefaults>
  <w:decimalSymbol w:val="."/>
  <w:listSeparator w:val=";"/>
  <w14:docId w14:val="18AEBFAB"/>
  <w14:defaultImageDpi w14:val="300"/>
  <w15:docId w15:val="{6C04C5AE-8D24-47FA-BBA2-B6995000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772A"/>
    <w:pPr>
      <w:tabs>
        <w:tab w:val="left" w:pos="5103"/>
      </w:tabs>
      <w:spacing w:after="220"/>
    </w:pPr>
    <w:rPr>
      <w:rFonts w:ascii="Arial" w:hAnsi="Arial"/>
      <w:sz w:val="22"/>
      <w:lang w:val="de-CH"/>
    </w:rPr>
  </w:style>
  <w:style w:type="paragraph" w:styleId="berschrift1">
    <w:name w:val="heading 1"/>
    <w:basedOn w:val="Standard"/>
    <w:next w:val="Standard"/>
    <w:link w:val="berschrift1Zchn"/>
    <w:qFormat/>
    <w:rsid w:val="00F03C10"/>
    <w:pPr>
      <w:keepNext/>
      <w:numPr>
        <w:numId w:val="10"/>
      </w:numPr>
      <w:spacing w:before="220" w:after="110"/>
      <w:outlineLvl w:val="0"/>
    </w:pPr>
    <w:rPr>
      <w:b/>
    </w:rPr>
  </w:style>
  <w:style w:type="paragraph" w:styleId="berschrift2">
    <w:name w:val="heading 2"/>
    <w:basedOn w:val="berschrift1"/>
    <w:next w:val="Traktandum"/>
    <w:link w:val="berschrift2Zchn"/>
    <w:unhideWhenUsed/>
    <w:qFormat/>
    <w:rsid w:val="00584CB5"/>
    <w:pPr>
      <w:numPr>
        <w:ilvl w:val="1"/>
      </w:numPr>
      <w:ind w:left="567"/>
      <w:outlineLvl w:val="1"/>
    </w:pPr>
  </w:style>
  <w:style w:type="paragraph" w:styleId="berschrift3">
    <w:name w:val="heading 3"/>
    <w:basedOn w:val="berschrift1"/>
    <w:next w:val="Traktandum"/>
    <w:link w:val="berschrift3Zchn"/>
    <w:unhideWhenUsed/>
    <w:qFormat/>
    <w:rsid w:val="002835BF"/>
    <w:pPr>
      <w:keepLines/>
      <w:numPr>
        <w:ilvl w:val="2"/>
      </w:numPr>
      <w:tabs>
        <w:tab w:val="num" w:pos="4973"/>
      </w:tabs>
      <w:spacing w:before="200"/>
      <w:ind w:left="567"/>
      <w:outlineLvl w:val="2"/>
    </w:pPr>
    <w:rPr>
      <w:rFonts w:eastAsiaTheme="majorEastAsia" w:cstheme="majorBidi"/>
      <w:b w:val="0"/>
      <w:bCs/>
      <w:i/>
    </w:rPr>
  </w:style>
  <w:style w:type="paragraph" w:styleId="berschrift4">
    <w:name w:val="heading 4"/>
    <w:basedOn w:val="berschrift3"/>
    <w:next w:val="Standard"/>
    <w:link w:val="berschrift4Zchn"/>
    <w:semiHidden/>
    <w:qFormat/>
    <w:rsid w:val="00F03C10"/>
    <w:pPr>
      <w:numPr>
        <w:ilvl w:val="3"/>
        <w:numId w:val="11"/>
      </w:numPr>
      <w:outlineLvl w:val="3"/>
    </w:pPr>
    <w:rPr>
      <w:bCs w:val="0"/>
      <w:i w:val="0"/>
      <w:iCs/>
    </w:rPr>
  </w:style>
  <w:style w:type="paragraph" w:styleId="berschrift5">
    <w:name w:val="heading 5"/>
    <w:basedOn w:val="berschrift4"/>
    <w:next w:val="Standard"/>
    <w:link w:val="berschrift5Zchn"/>
    <w:semiHidden/>
    <w:qFormat/>
    <w:rsid w:val="00F03C10"/>
    <w:pPr>
      <w:numPr>
        <w:ilvl w:val="4"/>
      </w:numPr>
      <w:tabs>
        <w:tab w:val="num" w:pos="5257"/>
      </w:tabs>
      <w:outlineLvl w:val="4"/>
    </w:pPr>
  </w:style>
  <w:style w:type="paragraph" w:styleId="berschrift6">
    <w:name w:val="heading 6"/>
    <w:basedOn w:val="berschrift5"/>
    <w:next w:val="Standard"/>
    <w:link w:val="berschrift6Zchn"/>
    <w:semiHidden/>
    <w:qFormat/>
    <w:rsid w:val="00F03C10"/>
    <w:pPr>
      <w:numPr>
        <w:ilvl w:val="5"/>
      </w:numPr>
      <w:outlineLvl w:val="5"/>
    </w:pPr>
    <w:rPr>
      <w:iCs w:val="0"/>
    </w:rPr>
  </w:style>
  <w:style w:type="paragraph" w:styleId="berschrift7">
    <w:name w:val="heading 7"/>
    <w:basedOn w:val="Standard"/>
    <w:next w:val="Standard"/>
    <w:link w:val="berschrift7Zchn"/>
    <w:semiHidden/>
    <w:qFormat/>
    <w:rsid w:val="00F03C10"/>
    <w:pPr>
      <w:tabs>
        <w:tab w:val="clear" w:pos="5103"/>
      </w:tabs>
      <w:spacing w:before="240" w:after="60" w:line="264" w:lineRule="auto"/>
      <w:outlineLvl w:val="6"/>
    </w:pPr>
    <w:rPr>
      <w:rFonts w:eastAsia="Times New Roman" w:cs="Times New Roman"/>
      <w:sz w:val="20"/>
      <w:szCs w:val="20"/>
      <w:lang w:eastAsia="de-DE"/>
    </w:rPr>
  </w:style>
  <w:style w:type="paragraph" w:styleId="berschrift8">
    <w:name w:val="heading 8"/>
    <w:basedOn w:val="Standard"/>
    <w:next w:val="Standard"/>
    <w:link w:val="berschrift8Zchn"/>
    <w:semiHidden/>
    <w:qFormat/>
    <w:rsid w:val="00F03C10"/>
    <w:pPr>
      <w:tabs>
        <w:tab w:val="clear" w:pos="5103"/>
      </w:tabs>
      <w:spacing w:before="240" w:after="60" w:line="264" w:lineRule="auto"/>
      <w:outlineLvl w:val="7"/>
    </w:pPr>
    <w:rPr>
      <w:rFonts w:eastAsia="Times New Roman" w:cs="Times New Roman"/>
      <w:i/>
      <w:sz w:val="20"/>
      <w:szCs w:val="20"/>
      <w:lang w:eastAsia="de-DE"/>
    </w:rPr>
  </w:style>
  <w:style w:type="paragraph" w:styleId="berschrift9">
    <w:name w:val="heading 9"/>
    <w:basedOn w:val="Standard"/>
    <w:next w:val="Standard"/>
    <w:link w:val="berschrift9Zchn"/>
    <w:semiHidden/>
    <w:qFormat/>
    <w:rsid w:val="00F03C10"/>
    <w:pPr>
      <w:tabs>
        <w:tab w:val="clear" w:pos="5103"/>
      </w:tabs>
      <w:spacing w:before="240" w:after="60" w:line="264" w:lineRule="auto"/>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F03C10"/>
    <w:pPr>
      <w:tabs>
        <w:tab w:val="clear" w:pos="5103"/>
        <w:tab w:val="center" w:pos="4320"/>
        <w:tab w:val="right" w:pos="8640"/>
      </w:tabs>
    </w:pPr>
  </w:style>
  <w:style w:type="paragraph" w:customStyle="1" w:styleId="Absender">
    <w:name w:val="Absender"/>
    <w:basedOn w:val="Standard"/>
    <w:semiHidden/>
    <w:qFormat/>
    <w:rsid w:val="00F03C10"/>
    <w:pPr>
      <w:spacing w:line="200" w:lineRule="exact"/>
    </w:pPr>
    <w:rPr>
      <w:color w:val="FF0000"/>
      <w:sz w:val="16"/>
    </w:rPr>
  </w:style>
  <w:style w:type="paragraph" w:customStyle="1" w:styleId="Absenderzeile">
    <w:name w:val="Absenderzeile"/>
    <w:basedOn w:val="Standard"/>
    <w:semiHidden/>
    <w:unhideWhenUsed/>
    <w:qFormat/>
    <w:rsid w:val="00F03C10"/>
    <w:rPr>
      <w:sz w:val="14"/>
      <w:szCs w:val="14"/>
      <w:u w:val="single"/>
    </w:rPr>
  </w:style>
  <w:style w:type="paragraph" w:customStyle="1" w:styleId="Betreff">
    <w:name w:val="Betreff"/>
    <w:basedOn w:val="Standard"/>
    <w:uiPriority w:val="4"/>
    <w:qFormat/>
    <w:rsid w:val="0090406E"/>
    <w:rPr>
      <w:b/>
    </w:rPr>
  </w:style>
  <w:style w:type="paragraph" w:customStyle="1" w:styleId="Seitenzahlrechts">
    <w:name w:val="Seitenzahl rechts"/>
    <w:basedOn w:val="Standard"/>
    <w:uiPriority w:val="19"/>
    <w:unhideWhenUsed/>
    <w:qFormat/>
    <w:rsid w:val="00F03C10"/>
    <w:pPr>
      <w:tabs>
        <w:tab w:val="clear" w:pos="5103"/>
        <w:tab w:val="center" w:pos="4820"/>
        <w:tab w:val="right" w:pos="9639"/>
      </w:tabs>
      <w:spacing w:after="0"/>
    </w:pPr>
    <w:rPr>
      <w:sz w:val="16"/>
    </w:rPr>
  </w:style>
  <w:style w:type="character" w:customStyle="1" w:styleId="KopfzeileZchn">
    <w:name w:val="Kopfzeile Zchn"/>
    <w:basedOn w:val="Absatz-Standardschriftart"/>
    <w:link w:val="Kopfzeile"/>
    <w:semiHidden/>
    <w:rsid w:val="00D8772A"/>
    <w:rPr>
      <w:rFonts w:ascii="Arial" w:hAnsi="Arial"/>
      <w:sz w:val="22"/>
      <w:lang w:val="de-CH"/>
    </w:rPr>
  </w:style>
  <w:style w:type="paragraph" w:styleId="Fuzeile">
    <w:name w:val="footer"/>
    <w:basedOn w:val="Standard"/>
    <w:link w:val="FuzeileZchn"/>
    <w:uiPriority w:val="99"/>
    <w:semiHidden/>
    <w:rsid w:val="00F03C10"/>
    <w:pPr>
      <w:tabs>
        <w:tab w:val="clear" w:pos="5103"/>
        <w:tab w:val="center" w:pos="4320"/>
        <w:tab w:val="right" w:pos="8640"/>
      </w:tabs>
    </w:pPr>
  </w:style>
  <w:style w:type="character" w:customStyle="1" w:styleId="FuzeileZchn">
    <w:name w:val="Fußzeile Zchn"/>
    <w:basedOn w:val="Absatz-Standardschriftart"/>
    <w:link w:val="Fuzeile"/>
    <w:uiPriority w:val="99"/>
    <w:semiHidden/>
    <w:rsid w:val="00F03C10"/>
    <w:rPr>
      <w:rFonts w:ascii="Arial" w:hAnsi="Arial"/>
      <w:sz w:val="22"/>
      <w:lang w:val="de-CH"/>
    </w:rPr>
  </w:style>
  <w:style w:type="paragraph" w:styleId="Sprechblasentext">
    <w:name w:val="Balloon Text"/>
    <w:basedOn w:val="Standard"/>
    <w:link w:val="SprechblasentextZchn"/>
    <w:uiPriority w:val="99"/>
    <w:semiHidden/>
    <w:rsid w:val="00F03C1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03C10"/>
    <w:rPr>
      <w:rFonts w:ascii="Lucida Grande" w:hAnsi="Lucida Grande" w:cs="Lucida Grande"/>
      <w:sz w:val="18"/>
      <w:szCs w:val="18"/>
      <w:lang w:val="de-CH"/>
    </w:rPr>
  </w:style>
  <w:style w:type="paragraph" w:styleId="Listenabsatz">
    <w:name w:val="List Paragraph"/>
    <w:basedOn w:val="Standard"/>
    <w:uiPriority w:val="34"/>
    <w:qFormat/>
    <w:rsid w:val="00F03C10"/>
    <w:pPr>
      <w:ind w:left="720"/>
      <w:contextualSpacing/>
    </w:pPr>
  </w:style>
  <w:style w:type="paragraph" w:customStyle="1" w:styleId="Listeunnummeriert">
    <w:name w:val="Liste unnummeriert"/>
    <w:basedOn w:val="Standard"/>
    <w:uiPriority w:val="1"/>
    <w:qFormat/>
    <w:rsid w:val="00BD24F3"/>
    <w:pPr>
      <w:numPr>
        <w:numId w:val="7"/>
      </w:numPr>
      <w:ind w:left="1276"/>
    </w:pPr>
    <w:rPr>
      <w:noProof/>
    </w:rPr>
  </w:style>
  <w:style w:type="paragraph" w:customStyle="1" w:styleId="Listenummeriert">
    <w:name w:val="Liste nummeriert"/>
    <w:basedOn w:val="Standard"/>
    <w:uiPriority w:val="4"/>
    <w:qFormat/>
    <w:rsid w:val="00BD24F3"/>
    <w:pPr>
      <w:numPr>
        <w:numId w:val="5"/>
      </w:numPr>
    </w:pPr>
  </w:style>
  <w:style w:type="character" w:customStyle="1" w:styleId="berschrift1Zchn">
    <w:name w:val="Überschrift 1 Zchn"/>
    <w:basedOn w:val="Absatz-Standardschriftart"/>
    <w:link w:val="berschrift1"/>
    <w:rsid w:val="00F03C10"/>
    <w:rPr>
      <w:rFonts w:ascii="Arial" w:hAnsi="Arial"/>
      <w:b/>
      <w:sz w:val="22"/>
      <w:lang w:val="de-CH"/>
    </w:rPr>
  </w:style>
  <w:style w:type="character" w:customStyle="1" w:styleId="berschrift2Zchn">
    <w:name w:val="Überschrift 2 Zchn"/>
    <w:basedOn w:val="Absatz-Standardschriftart"/>
    <w:link w:val="berschrift2"/>
    <w:rsid w:val="00584CB5"/>
    <w:rPr>
      <w:rFonts w:ascii="Arial" w:hAnsi="Arial"/>
      <w:b/>
      <w:sz w:val="22"/>
      <w:lang w:val="de-CH"/>
    </w:rPr>
  </w:style>
  <w:style w:type="paragraph" w:styleId="Titel">
    <w:name w:val="Title"/>
    <w:basedOn w:val="Standard"/>
    <w:next w:val="Standard"/>
    <w:link w:val="TitelZchn"/>
    <w:uiPriority w:val="10"/>
    <w:qFormat/>
    <w:rsid w:val="00F03C10"/>
    <w:rPr>
      <w:b/>
      <w:sz w:val="28"/>
    </w:rPr>
  </w:style>
  <w:style w:type="character" w:customStyle="1" w:styleId="TitelZchn">
    <w:name w:val="Titel Zchn"/>
    <w:basedOn w:val="Absatz-Standardschriftart"/>
    <w:link w:val="Titel"/>
    <w:uiPriority w:val="10"/>
    <w:rsid w:val="00F03C10"/>
    <w:rPr>
      <w:rFonts w:ascii="Arial" w:hAnsi="Arial"/>
      <w:b/>
      <w:sz w:val="28"/>
      <w:lang w:val="de-CH"/>
    </w:rPr>
  </w:style>
  <w:style w:type="paragraph" w:customStyle="1" w:styleId="Beilagen">
    <w:name w:val="Beilagen"/>
    <w:basedOn w:val="Listenabsatz"/>
    <w:qFormat/>
    <w:rsid w:val="00F03C10"/>
    <w:pPr>
      <w:numPr>
        <w:numId w:val="2"/>
      </w:numPr>
    </w:pPr>
  </w:style>
  <w:style w:type="character" w:styleId="Platzhaltertext">
    <w:name w:val="Placeholder Text"/>
    <w:basedOn w:val="Absatz-Standardschriftart"/>
    <w:uiPriority w:val="99"/>
    <w:semiHidden/>
    <w:rsid w:val="00F03C10"/>
    <w:rPr>
      <w:color w:val="808080"/>
    </w:rPr>
  </w:style>
  <w:style w:type="paragraph" w:customStyle="1" w:styleId="Tabelle">
    <w:name w:val="Tabelle"/>
    <w:basedOn w:val="Standard"/>
    <w:qFormat/>
    <w:rsid w:val="00F03C10"/>
    <w:pPr>
      <w:tabs>
        <w:tab w:val="clear" w:pos="5103"/>
      </w:tabs>
      <w:spacing w:after="0"/>
    </w:pPr>
    <w:rPr>
      <w:sz w:val="16"/>
    </w:rPr>
  </w:style>
  <w:style w:type="table" w:customStyle="1" w:styleId="TabellenCDBL">
    <w:name w:val="Tabellen CD BL"/>
    <w:basedOn w:val="NormaleTabelle"/>
    <w:uiPriority w:val="99"/>
    <w:rsid w:val="00F03C10"/>
    <w:rPr>
      <w:rFonts w:ascii="Arial" w:hAnsi="Arial"/>
      <w:sz w:val="16"/>
    </w:rPr>
    <w:tblPr>
      <w:tblBorders>
        <w:bottom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b/>
      </w:rPr>
      <w:tblPr/>
      <w:tcPr>
        <w:tcBorders>
          <w:bottom w:val="single" w:sz="8" w:space="0" w:color="auto"/>
        </w:tcBorders>
      </w:tcPr>
    </w:tblStylePr>
  </w:style>
  <w:style w:type="paragraph" w:customStyle="1" w:styleId="Bildlegende">
    <w:name w:val="Bildlegende"/>
    <w:basedOn w:val="Standard"/>
    <w:qFormat/>
    <w:rsid w:val="00F03C10"/>
    <w:pPr>
      <w:tabs>
        <w:tab w:val="clear" w:pos="5103"/>
      </w:tabs>
      <w:spacing w:before="80" w:after="0"/>
    </w:pPr>
    <w:rPr>
      <w:sz w:val="16"/>
    </w:rPr>
  </w:style>
  <w:style w:type="numbering" w:customStyle="1" w:styleId="AktennotizTraktanden">
    <w:name w:val="Aktennotiz Traktanden"/>
    <w:uiPriority w:val="99"/>
    <w:rsid w:val="00F03C10"/>
    <w:pPr>
      <w:numPr>
        <w:numId w:val="1"/>
      </w:numPr>
    </w:pPr>
  </w:style>
  <w:style w:type="paragraph" w:customStyle="1" w:styleId="Beschluss1">
    <w:name w:val="Beschluss 1."/>
    <w:basedOn w:val="Standard"/>
    <w:rsid w:val="00F03C10"/>
    <w:pPr>
      <w:tabs>
        <w:tab w:val="clear" w:pos="5103"/>
        <w:tab w:val="left" w:pos="567"/>
      </w:tabs>
      <w:spacing w:after="0" w:line="264" w:lineRule="auto"/>
      <w:ind w:left="1021" w:hanging="1021"/>
    </w:pPr>
    <w:rPr>
      <w:rFonts w:eastAsia="Times New Roman" w:cs="Times New Roman"/>
      <w:szCs w:val="20"/>
      <w:lang w:eastAsia="de-CH"/>
    </w:rPr>
  </w:style>
  <w:style w:type="paragraph" w:styleId="Funotentext">
    <w:name w:val="footnote text"/>
    <w:basedOn w:val="Standard"/>
    <w:link w:val="FunotentextZchn"/>
    <w:uiPriority w:val="99"/>
    <w:rsid w:val="00F03C10"/>
    <w:pPr>
      <w:spacing w:after="0"/>
    </w:pPr>
    <w:rPr>
      <w:sz w:val="16"/>
      <w:szCs w:val="20"/>
    </w:rPr>
  </w:style>
  <w:style w:type="character" w:customStyle="1" w:styleId="FunotentextZchn">
    <w:name w:val="Fußnotentext Zchn"/>
    <w:basedOn w:val="Absatz-Standardschriftart"/>
    <w:link w:val="Funotentext"/>
    <w:uiPriority w:val="99"/>
    <w:rsid w:val="00F03C10"/>
    <w:rPr>
      <w:rFonts w:ascii="Arial" w:hAnsi="Arial"/>
      <w:sz w:val="16"/>
      <w:szCs w:val="20"/>
      <w:lang w:val="de-CH"/>
    </w:rPr>
  </w:style>
  <w:style w:type="character" w:styleId="Funotenzeichen">
    <w:name w:val="footnote reference"/>
    <w:basedOn w:val="Absatz-Standardschriftart"/>
    <w:uiPriority w:val="99"/>
    <w:rsid w:val="00F03C10"/>
    <w:rPr>
      <w:vertAlign w:val="superscript"/>
    </w:rPr>
  </w:style>
  <w:style w:type="paragraph" w:customStyle="1" w:styleId="Geschftsnummer">
    <w:name w:val="Geschäftsnummer"/>
    <w:basedOn w:val="Standard"/>
    <w:qFormat/>
    <w:rsid w:val="00F03C10"/>
    <w:pPr>
      <w:tabs>
        <w:tab w:val="clear" w:pos="5103"/>
      </w:tabs>
      <w:jc w:val="right"/>
    </w:pPr>
    <w:rPr>
      <w:rFonts w:cs="Arial"/>
      <w:b/>
      <w:sz w:val="28"/>
      <w:szCs w:val="28"/>
    </w:rPr>
  </w:style>
  <w:style w:type="paragraph" w:customStyle="1" w:styleId="GesetzesnderungAbsatz">
    <w:name w:val="Gesetzesänderung Absatz"/>
    <w:basedOn w:val="Listenabsatz"/>
    <w:qFormat/>
    <w:rsid w:val="00F03C10"/>
    <w:pPr>
      <w:numPr>
        <w:numId w:val="3"/>
      </w:numPr>
    </w:pPr>
  </w:style>
  <w:style w:type="character" w:styleId="Hyperlink">
    <w:name w:val="Hyperlink"/>
    <w:uiPriority w:val="99"/>
    <w:rsid w:val="00F03C10"/>
    <w:rPr>
      <w:color w:val="0000FF"/>
      <w:u w:val="single"/>
    </w:rPr>
  </w:style>
  <w:style w:type="paragraph" w:styleId="Verzeichnis2">
    <w:name w:val="toc 2"/>
    <w:basedOn w:val="Standard"/>
    <w:next w:val="Standard"/>
    <w:autoRedefine/>
    <w:uiPriority w:val="39"/>
    <w:qFormat/>
    <w:rsid w:val="00F03C10"/>
    <w:pPr>
      <w:tabs>
        <w:tab w:val="clear" w:pos="5103"/>
        <w:tab w:val="left" w:pos="1276"/>
        <w:tab w:val="right" w:pos="9639"/>
      </w:tabs>
      <w:spacing w:after="0" w:line="264" w:lineRule="auto"/>
      <w:ind w:left="1276" w:right="425" w:hanging="992"/>
    </w:pPr>
    <w:rPr>
      <w:rFonts w:eastAsia="Times New Roman" w:cs="Times New Roman"/>
      <w:szCs w:val="20"/>
      <w:lang w:eastAsia="de-DE"/>
    </w:rPr>
  </w:style>
  <w:style w:type="paragraph" w:customStyle="1" w:styleId="Inhaltsverzeichnis">
    <w:name w:val="Inhaltsverzeichnis"/>
    <w:basedOn w:val="Verzeichnis2"/>
    <w:qFormat/>
    <w:rsid w:val="00F03C10"/>
    <w:rPr>
      <w:noProof/>
    </w:rPr>
  </w:style>
  <w:style w:type="numbering" w:customStyle="1" w:styleId="InhaltsverzeichnisNummern">
    <w:name w:val="Inhaltsverzeichnis Nummern"/>
    <w:uiPriority w:val="99"/>
    <w:rsid w:val="00F03C10"/>
    <w:pPr>
      <w:numPr>
        <w:numId w:val="4"/>
      </w:numPr>
    </w:pPr>
  </w:style>
  <w:style w:type="paragraph" w:styleId="Inhaltsverzeichnisberschrift">
    <w:name w:val="TOC Heading"/>
    <w:basedOn w:val="berschrift1"/>
    <w:next w:val="Standard"/>
    <w:uiPriority w:val="39"/>
    <w:qFormat/>
    <w:rsid w:val="00F03C10"/>
    <w:pPr>
      <w:keepLines/>
      <w:numPr>
        <w:numId w:val="0"/>
      </w:numPr>
      <w:tabs>
        <w:tab w:val="clear" w:pos="5103"/>
      </w:tabs>
      <w:spacing w:before="480" w:line="276" w:lineRule="auto"/>
      <w:outlineLvl w:val="9"/>
    </w:pPr>
    <w:rPr>
      <w:rFonts w:asciiTheme="majorHAnsi" w:eastAsiaTheme="majorEastAsia" w:hAnsiTheme="majorHAnsi" w:cstheme="majorBidi"/>
      <w:bCs/>
      <w:color w:val="365F91" w:themeColor="accent1" w:themeShade="BF"/>
      <w:sz w:val="28"/>
      <w:szCs w:val="28"/>
      <w:lang w:eastAsia="de-CH"/>
    </w:rPr>
  </w:style>
  <w:style w:type="paragraph" w:styleId="KeinLeerraum">
    <w:name w:val="No Spacing"/>
    <w:uiPriority w:val="1"/>
    <w:qFormat/>
    <w:rsid w:val="00F03C10"/>
    <w:pPr>
      <w:tabs>
        <w:tab w:val="left" w:pos="5103"/>
      </w:tabs>
    </w:pPr>
    <w:rPr>
      <w:rFonts w:ascii="Arial" w:hAnsi="Arial"/>
      <w:sz w:val="22"/>
      <w:lang w:val="de-CH"/>
    </w:rPr>
  </w:style>
  <w:style w:type="paragraph" w:styleId="Kommentartext">
    <w:name w:val="annotation text"/>
    <w:basedOn w:val="Standard"/>
    <w:link w:val="KommentartextZchn"/>
    <w:uiPriority w:val="99"/>
    <w:rsid w:val="00F03C10"/>
    <w:rPr>
      <w:sz w:val="20"/>
      <w:szCs w:val="20"/>
    </w:rPr>
  </w:style>
  <w:style w:type="character" w:customStyle="1" w:styleId="KommentartextZchn">
    <w:name w:val="Kommentartext Zchn"/>
    <w:basedOn w:val="Absatz-Standardschriftart"/>
    <w:link w:val="Kommentartext"/>
    <w:uiPriority w:val="99"/>
    <w:rsid w:val="00F03C10"/>
    <w:rPr>
      <w:rFonts w:ascii="Arial" w:hAnsi="Arial"/>
      <w:sz w:val="20"/>
      <w:szCs w:val="20"/>
      <w:lang w:val="de-CH"/>
    </w:rPr>
  </w:style>
  <w:style w:type="character" w:styleId="Kommentarzeichen">
    <w:name w:val="annotation reference"/>
    <w:basedOn w:val="Absatz-Standardschriftart"/>
    <w:uiPriority w:val="99"/>
    <w:semiHidden/>
    <w:rsid w:val="00F03C10"/>
    <w:rPr>
      <w:sz w:val="16"/>
      <w:szCs w:val="16"/>
    </w:rPr>
  </w:style>
  <w:style w:type="numbering" w:customStyle="1" w:styleId="Listenummeriertalt">
    <w:name w:val="Liste nummeriert alt"/>
    <w:uiPriority w:val="99"/>
    <w:rsid w:val="00F03C10"/>
    <w:pPr>
      <w:numPr>
        <w:numId w:val="6"/>
      </w:numPr>
    </w:pPr>
  </w:style>
  <w:style w:type="numbering" w:customStyle="1" w:styleId="Listeunnummeriertneu">
    <w:name w:val="Liste unnummeriert neu"/>
    <w:uiPriority w:val="99"/>
    <w:rsid w:val="00F03C10"/>
    <w:pPr>
      <w:numPr>
        <w:numId w:val="7"/>
      </w:numPr>
    </w:pPr>
  </w:style>
  <w:style w:type="paragraph" w:customStyle="1" w:styleId="Nummerierungrmisch">
    <w:name w:val="Nummerierung römisch"/>
    <w:basedOn w:val="Standard"/>
    <w:qFormat/>
    <w:rsid w:val="00F03C10"/>
    <w:pPr>
      <w:spacing w:before="220" w:after="0"/>
    </w:pPr>
  </w:style>
  <w:style w:type="numbering" w:customStyle="1" w:styleId="ParlamentsdiensteProtokoll">
    <w:name w:val="Parlamentsdienste Protokoll"/>
    <w:uiPriority w:val="99"/>
    <w:rsid w:val="00F03C10"/>
    <w:pPr>
      <w:numPr>
        <w:numId w:val="8"/>
      </w:numPr>
    </w:pPr>
  </w:style>
  <w:style w:type="character" w:styleId="Seitenzahl">
    <w:name w:val="page number"/>
    <w:basedOn w:val="Absatz-Standardschriftart"/>
    <w:semiHidden/>
    <w:rsid w:val="00F03C10"/>
  </w:style>
  <w:style w:type="paragraph" w:customStyle="1" w:styleId="Sitzungsdetails">
    <w:name w:val="Sitzungsdetails"/>
    <w:basedOn w:val="Standard"/>
    <w:semiHidden/>
    <w:qFormat/>
    <w:rsid w:val="00F03C10"/>
    <w:pPr>
      <w:ind w:left="1418" w:hanging="1418"/>
    </w:pPr>
    <w:rPr>
      <w:lang w:val="en-US"/>
    </w:rPr>
  </w:style>
  <w:style w:type="table" w:styleId="Tabellenraster">
    <w:name w:val="Table Grid"/>
    <w:basedOn w:val="NormaleTabelle"/>
    <w:uiPriority w:val="59"/>
    <w:rsid w:val="00F03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ktandenliste">
    <w:name w:val="Traktandenliste"/>
    <w:basedOn w:val="Standard"/>
    <w:semiHidden/>
    <w:qFormat/>
    <w:rsid w:val="00F03C10"/>
    <w:pPr>
      <w:numPr>
        <w:numId w:val="9"/>
      </w:numPr>
      <w:spacing w:before="110"/>
    </w:pPr>
  </w:style>
  <w:style w:type="paragraph" w:customStyle="1" w:styleId="Traktandum">
    <w:name w:val="Traktandum"/>
    <w:basedOn w:val="Standard"/>
    <w:semiHidden/>
    <w:qFormat/>
    <w:rsid w:val="00F03C10"/>
    <w:pPr>
      <w:ind w:left="567"/>
    </w:pPr>
  </w:style>
  <w:style w:type="paragraph" w:customStyle="1" w:styleId="Trennlinie">
    <w:name w:val="Trennlinie"/>
    <w:basedOn w:val="Standard"/>
    <w:semiHidden/>
    <w:qFormat/>
    <w:rsid w:val="00F03C10"/>
    <w:pPr>
      <w:pBdr>
        <w:bottom w:val="single" w:sz="4" w:space="1" w:color="auto"/>
      </w:pBdr>
    </w:pPr>
    <w:rPr>
      <w:b/>
      <w:bCs/>
      <w:lang w:val="en-US"/>
    </w:rPr>
  </w:style>
  <w:style w:type="character" w:customStyle="1" w:styleId="berschrift3Zchn">
    <w:name w:val="Überschrift 3 Zchn"/>
    <w:basedOn w:val="Absatz-Standardschriftart"/>
    <w:link w:val="berschrift3"/>
    <w:rsid w:val="002835BF"/>
    <w:rPr>
      <w:rFonts w:ascii="Arial" w:eastAsiaTheme="majorEastAsia" w:hAnsi="Arial" w:cstheme="majorBidi"/>
      <w:bCs/>
      <w:i/>
      <w:sz w:val="22"/>
      <w:lang w:val="de-CH"/>
    </w:rPr>
  </w:style>
  <w:style w:type="character" w:customStyle="1" w:styleId="berschrift4Zchn">
    <w:name w:val="Überschrift 4 Zchn"/>
    <w:basedOn w:val="Absatz-Standardschriftart"/>
    <w:link w:val="berschrift4"/>
    <w:semiHidden/>
    <w:rsid w:val="00F03C10"/>
    <w:rPr>
      <w:rFonts w:ascii="Arial" w:eastAsiaTheme="majorEastAsia" w:hAnsi="Arial" w:cstheme="majorBidi"/>
      <w:iCs/>
      <w:sz w:val="22"/>
      <w:lang w:val="de-CH"/>
    </w:rPr>
  </w:style>
  <w:style w:type="character" w:customStyle="1" w:styleId="berschrift5Zchn">
    <w:name w:val="Überschrift 5 Zchn"/>
    <w:basedOn w:val="Absatz-Standardschriftart"/>
    <w:link w:val="berschrift5"/>
    <w:semiHidden/>
    <w:rsid w:val="00F03C10"/>
    <w:rPr>
      <w:rFonts w:ascii="Arial" w:eastAsiaTheme="majorEastAsia" w:hAnsi="Arial" w:cstheme="majorBidi"/>
      <w:iCs/>
      <w:sz w:val="22"/>
      <w:lang w:val="de-CH"/>
    </w:rPr>
  </w:style>
  <w:style w:type="character" w:customStyle="1" w:styleId="berschrift6Zchn">
    <w:name w:val="Überschrift 6 Zchn"/>
    <w:basedOn w:val="Absatz-Standardschriftart"/>
    <w:link w:val="berschrift6"/>
    <w:semiHidden/>
    <w:rsid w:val="00F03C10"/>
    <w:rPr>
      <w:rFonts w:ascii="Arial" w:eastAsiaTheme="majorEastAsia" w:hAnsi="Arial" w:cstheme="majorBidi"/>
      <w:sz w:val="22"/>
      <w:lang w:val="de-CH"/>
    </w:rPr>
  </w:style>
  <w:style w:type="character" w:customStyle="1" w:styleId="berschrift7Zchn">
    <w:name w:val="Überschrift 7 Zchn"/>
    <w:basedOn w:val="Absatz-Standardschriftart"/>
    <w:link w:val="berschrift7"/>
    <w:semiHidden/>
    <w:rsid w:val="00F03C10"/>
    <w:rPr>
      <w:rFonts w:ascii="Arial" w:eastAsia="Times New Roman" w:hAnsi="Arial" w:cs="Times New Roman"/>
      <w:sz w:val="20"/>
      <w:szCs w:val="20"/>
      <w:lang w:val="de-CH" w:eastAsia="de-DE"/>
    </w:rPr>
  </w:style>
  <w:style w:type="character" w:customStyle="1" w:styleId="berschrift8Zchn">
    <w:name w:val="Überschrift 8 Zchn"/>
    <w:basedOn w:val="Absatz-Standardschriftart"/>
    <w:link w:val="berschrift8"/>
    <w:semiHidden/>
    <w:rsid w:val="00F03C10"/>
    <w:rPr>
      <w:rFonts w:ascii="Arial" w:eastAsia="Times New Roman" w:hAnsi="Arial" w:cs="Times New Roman"/>
      <w:i/>
      <w:sz w:val="20"/>
      <w:szCs w:val="20"/>
      <w:lang w:val="de-CH" w:eastAsia="de-DE"/>
    </w:rPr>
  </w:style>
  <w:style w:type="character" w:customStyle="1" w:styleId="berschrift9Zchn">
    <w:name w:val="Überschrift 9 Zchn"/>
    <w:basedOn w:val="Absatz-Standardschriftart"/>
    <w:link w:val="berschrift9"/>
    <w:semiHidden/>
    <w:rsid w:val="00F03C10"/>
    <w:rPr>
      <w:rFonts w:ascii="Arial" w:eastAsia="Times New Roman" w:hAnsi="Arial" w:cs="Times New Roman"/>
      <w:i/>
      <w:sz w:val="18"/>
      <w:szCs w:val="20"/>
      <w:lang w:val="de-CH" w:eastAsia="de-DE"/>
    </w:rPr>
  </w:style>
  <w:style w:type="paragraph" w:styleId="Untertitel">
    <w:name w:val="Subtitle"/>
    <w:basedOn w:val="Standard"/>
    <w:next w:val="Standard"/>
    <w:link w:val="UntertitelZchn"/>
    <w:uiPriority w:val="11"/>
    <w:qFormat/>
    <w:rsid w:val="00F03C10"/>
    <w:rPr>
      <w:b/>
    </w:rPr>
  </w:style>
  <w:style w:type="character" w:customStyle="1" w:styleId="UntertitelZchn">
    <w:name w:val="Untertitel Zchn"/>
    <w:basedOn w:val="Absatz-Standardschriftart"/>
    <w:link w:val="Untertitel"/>
    <w:uiPriority w:val="11"/>
    <w:rsid w:val="00F03C10"/>
    <w:rPr>
      <w:rFonts w:ascii="Arial" w:hAnsi="Arial"/>
      <w:b/>
      <w:sz w:val="22"/>
      <w:lang w:val="de-CH"/>
    </w:rPr>
  </w:style>
  <w:style w:type="paragraph" w:styleId="Verzeichnis1">
    <w:name w:val="toc 1"/>
    <w:basedOn w:val="Standard"/>
    <w:next w:val="Standard"/>
    <w:autoRedefine/>
    <w:uiPriority w:val="39"/>
    <w:qFormat/>
    <w:rsid w:val="00F03C10"/>
    <w:pPr>
      <w:tabs>
        <w:tab w:val="clear" w:pos="5103"/>
        <w:tab w:val="left" w:pos="1276"/>
        <w:tab w:val="right" w:leader="dot" w:pos="9629"/>
      </w:tabs>
      <w:spacing w:after="0" w:line="264" w:lineRule="auto"/>
      <w:ind w:left="1276" w:hanging="1276"/>
    </w:pPr>
    <w:rPr>
      <w:rFonts w:eastAsia="Times New Roman" w:cs="Times New Roman"/>
      <w:szCs w:val="20"/>
      <w:lang w:eastAsia="de-DE"/>
    </w:rPr>
  </w:style>
  <w:style w:type="paragraph" w:styleId="Verzeichnis3">
    <w:name w:val="toc 3"/>
    <w:basedOn w:val="Verzeichnis2"/>
    <w:next w:val="Standard"/>
    <w:autoRedefine/>
    <w:uiPriority w:val="39"/>
    <w:qFormat/>
    <w:rsid w:val="00F03C10"/>
    <w:pPr>
      <w:spacing w:line="276" w:lineRule="auto"/>
      <w:ind w:left="1559"/>
    </w:pPr>
    <w:rPr>
      <w:i/>
      <w:szCs w:val="22"/>
      <w:lang w:eastAsia="de-CH"/>
    </w:rPr>
  </w:style>
  <w:style w:type="paragraph" w:customStyle="1" w:styleId="Zwischentitel">
    <w:name w:val="Zwischentitel"/>
    <w:basedOn w:val="Standard"/>
    <w:qFormat/>
    <w:rsid w:val="00F03C10"/>
    <w:pPr>
      <w:spacing w:after="0"/>
    </w:pPr>
  </w:style>
  <w:style w:type="paragraph" w:styleId="Kommentarthema">
    <w:name w:val="annotation subject"/>
    <w:basedOn w:val="Kommentartext"/>
    <w:next w:val="Kommentartext"/>
    <w:link w:val="KommentarthemaZchn"/>
    <w:uiPriority w:val="99"/>
    <w:semiHidden/>
    <w:unhideWhenUsed/>
    <w:rsid w:val="00164819"/>
    <w:rPr>
      <w:b/>
      <w:bCs/>
    </w:rPr>
  </w:style>
  <w:style w:type="character" w:customStyle="1" w:styleId="KommentarthemaZchn">
    <w:name w:val="Kommentarthema Zchn"/>
    <w:basedOn w:val="KommentartextZchn"/>
    <w:link w:val="Kommentarthema"/>
    <w:uiPriority w:val="99"/>
    <w:semiHidden/>
    <w:rsid w:val="00164819"/>
    <w:rPr>
      <w:rFonts w:ascii="Arial" w:hAnsi="Arial"/>
      <w:b/>
      <w:bCs/>
      <w:sz w:val="20"/>
      <w:szCs w:val="20"/>
      <w:lang w:val="de-CH"/>
    </w:rPr>
  </w:style>
  <w:style w:type="paragraph" w:customStyle="1" w:styleId="TextCDB">
    <w:name w:val="Text_CDB"/>
    <w:basedOn w:val="Standard"/>
    <w:qFormat/>
    <w:rsid w:val="0076368D"/>
    <w:pPr>
      <w:tabs>
        <w:tab w:val="clear" w:pos="5103"/>
      </w:tabs>
      <w:spacing w:after="120" w:line="264" w:lineRule="auto"/>
    </w:pPr>
    <w:rPr>
      <w:rFonts w:eastAsia="Times New Roman" w:cs="Times New Roman"/>
      <w:szCs w:val="22"/>
      <w:lang w:val="en-US" w:eastAsia="de-DE"/>
    </w:rPr>
  </w:style>
  <w:style w:type="character" w:styleId="BesuchterLink">
    <w:name w:val="FollowedHyperlink"/>
    <w:basedOn w:val="Absatz-Standardschriftart"/>
    <w:uiPriority w:val="99"/>
    <w:semiHidden/>
    <w:unhideWhenUsed/>
    <w:rsid w:val="005851DB"/>
    <w:rPr>
      <w:color w:val="800080" w:themeColor="followedHyperlink"/>
      <w:u w:val="single"/>
    </w:rPr>
  </w:style>
  <w:style w:type="paragraph" w:customStyle="1" w:styleId="Liste1ai">
    <w:name w:val="Liste 1./a./i."/>
    <w:basedOn w:val="Standard"/>
    <w:next w:val="Standard"/>
    <w:uiPriority w:val="2"/>
    <w:qFormat/>
    <w:rsid w:val="008F1AF9"/>
    <w:pPr>
      <w:numPr>
        <w:numId w:val="37"/>
      </w:numPr>
      <w:spacing w:before="220"/>
      <w:ind w:left="850" w:hanging="425"/>
      <w:contextualSpacing/>
    </w:pPr>
  </w:style>
  <w:style w:type="numbering" w:customStyle="1" w:styleId="Unterliste1ai">
    <w:name w:val="Unterliste 1./a./i."/>
    <w:uiPriority w:val="99"/>
    <w:rsid w:val="008F1AF9"/>
    <w:pPr>
      <w:numPr>
        <w:numId w:val="36"/>
      </w:numPr>
    </w:pPr>
  </w:style>
  <w:style w:type="paragraph" w:customStyle="1" w:styleId="Default">
    <w:name w:val="Default"/>
    <w:rsid w:val="008F1AF9"/>
    <w:pPr>
      <w:autoSpaceDE w:val="0"/>
      <w:autoSpaceDN w:val="0"/>
      <w:adjustRightInd w:val="0"/>
    </w:pPr>
    <w:rPr>
      <w:rFonts w:ascii="Arial" w:hAnsi="Arial" w:cs="Arial"/>
      <w:color w:val="000000"/>
      <w:lang w:val="de-CH"/>
    </w:rPr>
  </w:style>
  <w:style w:type="character" w:styleId="SchwacheHervorhebung">
    <w:name w:val="Subtle Emphasis"/>
    <w:basedOn w:val="Absatz-Standardschriftart"/>
    <w:uiPriority w:val="19"/>
    <w:qFormat/>
    <w:rsid w:val="005828EB"/>
    <w:rPr>
      <w:i/>
      <w:iCs/>
      <w:color w:val="404040" w:themeColor="text1" w:themeTint="BF"/>
    </w:rPr>
  </w:style>
  <w:style w:type="paragraph" w:styleId="Verzeichnis4">
    <w:name w:val="toc 4"/>
    <w:basedOn w:val="Standard"/>
    <w:next w:val="Standard"/>
    <w:autoRedefine/>
    <w:uiPriority w:val="39"/>
    <w:unhideWhenUsed/>
    <w:rsid w:val="007F7823"/>
    <w:pPr>
      <w:tabs>
        <w:tab w:val="clear" w:pos="5103"/>
      </w:tabs>
      <w:spacing w:after="100" w:line="259" w:lineRule="auto"/>
      <w:ind w:left="660"/>
    </w:pPr>
    <w:rPr>
      <w:rFonts w:asciiTheme="minorHAnsi" w:hAnsiTheme="minorHAnsi"/>
      <w:szCs w:val="22"/>
      <w:lang w:eastAsia="de-CH"/>
    </w:rPr>
  </w:style>
  <w:style w:type="paragraph" w:styleId="Verzeichnis5">
    <w:name w:val="toc 5"/>
    <w:basedOn w:val="Standard"/>
    <w:next w:val="Standard"/>
    <w:autoRedefine/>
    <w:uiPriority w:val="39"/>
    <w:unhideWhenUsed/>
    <w:rsid w:val="007F7823"/>
    <w:pPr>
      <w:tabs>
        <w:tab w:val="clear" w:pos="5103"/>
      </w:tabs>
      <w:spacing w:after="100" w:line="259" w:lineRule="auto"/>
      <w:ind w:left="880"/>
    </w:pPr>
    <w:rPr>
      <w:rFonts w:asciiTheme="minorHAnsi" w:hAnsiTheme="minorHAnsi"/>
      <w:szCs w:val="22"/>
      <w:lang w:eastAsia="de-CH"/>
    </w:rPr>
  </w:style>
  <w:style w:type="paragraph" w:styleId="Verzeichnis6">
    <w:name w:val="toc 6"/>
    <w:basedOn w:val="Standard"/>
    <w:next w:val="Standard"/>
    <w:autoRedefine/>
    <w:uiPriority w:val="39"/>
    <w:unhideWhenUsed/>
    <w:rsid w:val="007F7823"/>
    <w:pPr>
      <w:tabs>
        <w:tab w:val="clear" w:pos="5103"/>
      </w:tabs>
      <w:spacing w:after="100" w:line="259" w:lineRule="auto"/>
      <w:ind w:left="1100"/>
    </w:pPr>
    <w:rPr>
      <w:rFonts w:asciiTheme="minorHAnsi" w:hAnsiTheme="minorHAnsi"/>
      <w:szCs w:val="22"/>
      <w:lang w:eastAsia="de-CH"/>
    </w:rPr>
  </w:style>
  <w:style w:type="paragraph" w:styleId="Verzeichnis7">
    <w:name w:val="toc 7"/>
    <w:basedOn w:val="Standard"/>
    <w:next w:val="Standard"/>
    <w:autoRedefine/>
    <w:uiPriority w:val="39"/>
    <w:unhideWhenUsed/>
    <w:rsid w:val="007F7823"/>
    <w:pPr>
      <w:tabs>
        <w:tab w:val="clear" w:pos="5103"/>
      </w:tabs>
      <w:spacing w:after="100" w:line="259" w:lineRule="auto"/>
      <w:ind w:left="1320"/>
    </w:pPr>
    <w:rPr>
      <w:rFonts w:asciiTheme="minorHAnsi" w:hAnsiTheme="minorHAnsi"/>
      <w:szCs w:val="22"/>
      <w:lang w:eastAsia="de-CH"/>
    </w:rPr>
  </w:style>
  <w:style w:type="paragraph" w:styleId="Verzeichnis8">
    <w:name w:val="toc 8"/>
    <w:basedOn w:val="Standard"/>
    <w:next w:val="Standard"/>
    <w:autoRedefine/>
    <w:uiPriority w:val="39"/>
    <w:unhideWhenUsed/>
    <w:rsid w:val="007F7823"/>
    <w:pPr>
      <w:tabs>
        <w:tab w:val="clear" w:pos="5103"/>
      </w:tabs>
      <w:spacing w:after="100" w:line="259" w:lineRule="auto"/>
      <w:ind w:left="1540"/>
    </w:pPr>
    <w:rPr>
      <w:rFonts w:asciiTheme="minorHAnsi" w:hAnsiTheme="minorHAnsi"/>
      <w:szCs w:val="22"/>
      <w:lang w:eastAsia="de-CH"/>
    </w:rPr>
  </w:style>
  <w:style w:type="paragraph" w:styleId="Verzeichnis9">
    <w:name w:val="toc 9"/>
    <w:basedOn w:val="Standard"/>
    <w:next w:val="Standard"/>
    <w:autoRedefine/>
    <w:uiPriority w:val="39"/>
    <w:unhideWhenUsed/>
    <w:rsid w:val="007F7823"/>
    <w:pPr>
      <w:tabs>
        <w:tab w:val="clear" w:pos="5103"/>
      </w:tabs>
      <w:spacing w:after="100" w:line="259" w:lineRule="auto"/>
      <w:ind w:left="1760"/>
    </w:pPr>
    <w:rPr>
      <w:rFonts w:asciiTheme="minorHAnsi" w:hAnsiTheme="minorHAnsi"/>
      <w:szCs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3289">
      <w:bodyDiv w:val="1"/>
      <w:marLeft w:val="0"/>
      <w:marRight w:val="0"/>
      <w:marTop w:val="0"/>
      <w:marBottom w:val="0"/>
      <w:divBdr>
        <w:top w:val="none" w:sz="0" w:space="0" w:color="auto"/>
        <w:left w:val="none" w:sz="0" w:space="0" w:color="auto"/>
        <w:bottom w:val="none" w:sz="0" w:space="0" w:color="auto"/>
        <w:right w:val="none" w:sz="0" w:space="0" w:color="auto"/>
      </w:divBdr>
    </w:div>
    <w:div w:id="462777539">
      <w:bodyDiv w:val="1"/>
      <w:marLeft w:val="0"/>
      <w:marRight w:val="0"/>
      <w:marTop w:val="0"/>
      <w:marBottom w:val="0"/>
      <w:divBdr>
        <w:top w:val="none" w:sz="0" w:space="0" w:color="auto"/>
        <w:left w:val="none" w:sz="0" w:space="0" w:color="auto"/>
        <w:bottom w:val="none" w:sz="0" w:space="0" w:color="auto"/>
        <w:right w:val="none" w:sz="0" w:space="0" w:color="auto"/>
      </w:divBdr>
    </w:div>
    <w:div w:id="796459160">
      <w:bodyDiv w:val="1"/>
      <w:marLeft w:val="0"/>
      <w:marRight w:val="0"/>
      <w:marTop w:val="0"/>
      <w:marBottom w:val="0"/>
      <w:divBdr>
        <w:top w:val="none" w:sz="0" w:space="0" w:color="auto"/>
        <w:left w:val="none" w:sz="0" w:space="0" w:color="auto"/>
        <w:bottom w:val="none" w:sz="0" w:space="0" w:color="auto"/>
        <w:right w:val="none" w:sz="0" w:space="0" w:color="auto"/>
      </w:divBdr>
    </w:div>
    <w:div w:id="1233855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vice.arbo.bl.ch/?login" TargetMode="External"/><Relationship Id="rId18" Type="http://schemas.openxmlformats.org/officeDocument/2006/relationships/hyperlink" Target="https://www.fedlex.admin.ch/eli/cc/24/233_245_233/de" TargetMode="External"/><Relationship Id="rId26" Type="http://schemas.openxmlformats.org/officeDocument/2006/relationships/hyperlink" Target="https://bl.clex.ch/app/de/texts_of_law/850.11" TargetMode="External"/><Relationship Id="rId21" Type="http://schemas.openxmlformats.org/officeDocument/2006/relationships/hyperlink" Target="https://bl.clex.ch/app/de/texts_of_law/17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sa.mietzinsbeitrag@bl.ch" TargetMode="External"/><Relationship Id="rId17" Type="http://schemas.openxmlformats.org/officeDocument/2006/relationships/hyperlink" Target="https://www.fedlex.admin.ch/eli/cc/24/233_245_233/de" TargetMode="External"/><Relationship Id="rId25" Type="http://schemas.openxmlformats.org/officeDocument/2006/relationships/hyperlink" Target="https://bl.clex.ch/app/de/texts_of_law/850.1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selland.talus.ch/de/politik/cdws/dok_geschaeft.php?did=178a71ed295a4b86911ee835d3605648-332&amp;filename=Vorlage_des_Regierungsrats&amp;v=5&amp;r=PDF&amp;typ=pdf" TargetMode="External"/><Relationship Id="rId20" Type="http://schemas.openxmlformats.org/officeDocument/2006/relationships/hyperlink" Target="https://bl.clex.ch/app/de/texts_of_law/175" TargetMode="External"/><Relationship Id="rId29" Type="http://schemas.openxmlformats.org/officeDocument/2006/relationships/hyperlink" Target="https://bl.clex.ch/app/de/texts_of_law/85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lland.talus.ch/de/politik/cdws/dok_geschaeft.php?did=178a71ed295a4b86911ee835d3605648-332&amp;filename=Vorlage_des_Regierungsrats&amp;v=5&amp;r=PDF&amp;typ=pdf" TargetMode="External"/><Relationship Id="rId24" Type="http://schemas.openxmlformats.org/officeDocument/2006/relationships/hyperlink" Target="https://bl.clex.ch/app/de/texts_of_law/163" TargetMode="External"/><Relationship Id="rId32" Type="http://schemas.openxmlformats.org/officeDocument/2006/relationships/header" Target="header2.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bl.clex.ch/app/de/texts_of_law/850.11" TargetMode="External"/><Relationship Id="rId23" Type="http://schemas.openxmlformats.org/officeDocument/2006/relationships/hyperlink" Target="https://support.microsoft.com/de-de/office/dateiformate-die-von-excel-unterst%C3%BCtzt-werden-0943ff2c-6014-4e8d-aaea-b83d51d46247" TargetMode="External"/><Relationship Id="rId28" Type="http://schemas.openxmlformats.org/officeDocument/2006/relationships/hyperlink" Target="https://bl.clex.ch/app/de/texts_of_law/850.11" TargetMode="External"/><Relationship Id="rId36" Type="http://schemas.openxmlformats.org/officeDocument/2006/relationships/customXml" Target="../customXml/item3.xml"/><Relationship Id="rId10" Type="http://schemas.openxmlformats.org/officeDocument/2006/relationships/hyperlink" Target="https://www.baselland.ch/politik-und-behorden/direktionen/finanz-und-kirchendirektion/sozialamt/abteilung-projekte/mietzinsbeitragsgesetz" TargetMode="External"/><Relationship Id="rId19" Type="http://schemas.openxmlformats.org/officeDocument/2006/relationships/hyperlink" Target="https://www.bger.ch/files/live/sites/bger/files/pdf/de/archive/5A_384_2018_2018_09_28_T_d_10_20_02.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aselland.ch/politik-und-behorden/direktionen/finanz-und-kirchendirektion/sozialamt/abteilung-projekte/mietzinsbeitragsgesetz" TargetMode="External"/><Relationship Id="rId14" Type="http://schemas.openxmlformats.org/officeDocument/2006/relationships/hyperlink" Target="https://bl.clex.ch/app/de/texts_of_law/850.11" TargetMode="External"/><Relationship Id="rId22" Type="http://schemas.openxmlformats.org/officeDocument/2006/relationships/hyperlink" Target="https://baselland.talus.ch/de/dokumente/geschaeft/178a71ed295a4b86911ee835d3605648-332" TargetMode="External"/><Relationship Id="rId27" Type="http://schemas.openxmlformats.org/officeDocument/2006/relationships/hyperlink" Target="https://www.fedlex.admin.ch/eli/cc/2022/613/de" TargetMode="External"/><Relationship Id="rId30" Type="http://schemas.openxmlformats.org/officeDocument/2006/relationships/header" Target="header1.xml"/><Relationship Id="rId35" Type="http://schemas.openxmlformats.org/officeDocument/2006/relationships/customXml" Target="../customXml/item2.xml"/><Relationship Id="rId8" Type="http://schemas.openxmlformats.org/officeDocument/2006/relationships/hyperlink" Target="https://bl.clex.ch/app/de/texts_of_law/844"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bl.clex.ch/app/de/texts_of_law/362.1" TargetMode="External"/><Relationship Id="rId2" Type="http://schemas.openxmlformats.org/officeDocument/2006/relationships/hyperlink" Target="https://bl.clex.ch/app/de/texts_of_law/362" TargetMode="External"/><Relationship Id="rId1" Type="http://schemas.openxmlformats.org/officeDocument/2006/relationships/hyperlink" Target="https://bl.clex.ch/app/de/texts_of_law/362.12" TargetMode="External"/><Relationship Id="rId5" Type="http://schemas.openxmlformats.org/officeDocument/2006/relationships/hyperlink" Target="https://bl.clex.ch/app/de/texts_of_law/362.1" TargetMode="External"/><Relationship Id="rId4" Type="http://schemas.openxmlformats.org/officeDocument/2006/relationships/hyperlink" Target="https://bl.clex.ch/app/de/texts_of_law/362.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23348\AppData\Roaming\Microsoft\Templates\BL\05%20Blanko%20hoch%20IK%20FKD%20K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E044C41229C2745B6A3FE15F7783453" ma:contentTypeVersion="16" ma:contentTypeDescription="Ein neues Dokument erstellen." ma:contentTypeScope="" ma:versionID="9d8db072613aacd607cb61998fd7defc">
  <xsd:schema xmlns:xsd="http://www.w3.org/2001/XMLSchema" xmlns:xs="http://www.w3.org/2001/XMLSchema" xmlns:p="http://schemas.microsoft.com/office/2006/metadata/properties" xmlns:ns2="2c30f477-c6a4-4c63-85fd-c1ffceb680e5" xmlns:ns3="cfe89d6f-6941-4ae8-964d-1d28a701b750" targetNamespace="http://schemas.microsoft.com/office/2006/metadata/properties" ma:root="true" ma:fieldsID="bb3221a474d299d931c5d4e9e19d4de5" ns2:_="" ns3:_="">
    <xsd:import namespace="2c30f477-c6a4-4c63-85fd-c1ffceb680e5"/>
    <xsd:import namespace="cfe89d6f-6941-4ae8-964d-1d28a701b7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0f477-c6a4-4c63-85fd-c1ffceb68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b9d7c219-b261-47be-916e-7a9fe89c95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e89d6f-6941-4ae8-964d-1d28a701b7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fb98a914-b578-465e-a6fd-a654d54814dc}" ma:internalName="TaxCatchAll" ma:showField="CatchAllData" ma:web="cfe89d6f-6941-4ae8-964d-1d28a701b7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fe89d6f-6941-4ae8-964d-1d28a701b750" xsi:nil="true"/>
    <lcf76f155ced4ddcb4097134ff3c332f xmlns="2c30f477-c6a4-4c63-85fd-c1ffceb680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29AA31-30F2-44C8-8418-3A7D1645AF0C}">
  <ds:schemaRefs>
    <ds:schemaRef ds:uri="http://schemas.openxmlformats.org/officeDocument/2006/bibliography"/>
  </ds:schemaRefs>
</ds:datastoreItem>
</file>

<file path=customXml/itemProps2.xml><?xml version="1.0" encoding="utf-8"?>
<ds:datastoreItem xmlns:ds="http://schemas.openxmlformats.org/officeDocument/2006/customXml" ds:itemID="{94B676D1-27AF-40A8-9C41-209D1172E6AC}"/>
</file>

<file path=customXml/itemProps3.xml><?xml version="1.0" encoding="utf-8"?>
<ds:datastoreItem xmlns:ds="http://schemas.openxmlformats.org/officeDocument/2006/customXml" ds:itemID="{09356426-4F60-4B7E-A86E-9379929FA80A}"/>
</file>

<file path=customXml/itemProps4.xml><?xml version="1.0" encoding="utf-8"?>
<ds:datastoreItem xmlns:ds="http://schemas.openxmlformats.org/officeDocument/2006/customXml" ds:itemID="{65B6DFD1-1DE0-42E2-BD49-9880D826F4A3}"/>
</file>

<file path=docProps/app.xml><?xml version="1.0" encoding="utf-8"?>
<Properties xmlns="http://schemas.openxmlformats.org/officeDocument/2006/extended-properties" xmlns:vt="http://schemas.openxmlformats.org/officeDocument/2006/docPropsVTypes">
  <Template>05 Blanko hoch IK FKD KSA</Template>
  <TotalTime>0</TotalTime>
  <Pages>6</Pages>
  <Words>8217</Words>
  <Characters>51770</Characters>
  <Application>Microsoft Office Word</Application>
  <DocSecurity>4</DocSecurity>
  <Lines>431</Lines>
  <Paragraphs>119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Kanton BL Standardbrief IK</vt:lpstr>
      <vt:lpstr/>
    </vt:vector>
  </TitlesOfParts>
  <Company>Kanton Basel Landschaft</Company>
  <LinksUpToDate>false</LinksUpToDate>
  <CharactersWithSpaces>59868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Kanton BL Standardbrief IK</dc:title>
  <dc:creator>Kissling, Isabel FKD</dc:creator>
  <dc:description>Vorlage erstellt am: 09.12.2022 15:57:43, Version</dc:description>
  <cp:lastModifiedBy>Charlotte Weishaupt</cp:lastModifiedBy>
  <cp:revision>2</cp:revision>
  <cp:lastPrinted>2023-08-24T07:58:00Z</cp:lastPrinted>
  <dcterms:created xsi:type="dcterms:W3CDTF">2023-12-07T14:37:00Z</dcterms:created>
  <dcterms:modified xsi:type="dcterms:W3CDTF">2023-12-07T14:37:00Z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0x0101009E044C41229C2745B6A3FE15F7783453</vt:lpwstr>
  </property>
</Properties>
</file>